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32B26" w14:textId="2F77C968" w:rsidR="00171D74" w:rsidRPr="00E87DBE" w:rsidRDefault="00C222A7" w:rsidP="00171D74">
      <w:pPr>
        <w:rPr>
          <w:rFonts w:asciiTheme="majorHAnsi" w:hAnsiTheme="majorHAnsi"/>
          <w:b/>
          <w:bCs/>
          <w:i/>
          <w:iCs/>
          <w:sz w:val="24"/>
          <w:szCs w:val="24"/>
        </w:rPr>
      </w:pPr>
      <w:r w:rsidRPr="00E87DBE">
        <w:rPr>
          <w:rFonts w:asciiTheme="majorHAnsi" w:hAnsiTheme="majorHAnsi"/>
          <w:b/>
          <w:bCs/>
          <w:i/>
          <w:iCs/>
          <w:sz w:val="24"/>
          <w:szCs w:val="24"/>
        </w:rPr>
        <w:t>Annex I: Call for TAIEX experts – expression of interest</w:t>
      </w:r>
    </w:p>
    <w:p w14:paraId="7B4A8C6A" w14:textId="77777777" w:rsidR="00171D74" w:rsidRDefault="00171D74" w:rsidP="00171D74">
      <w:pPr>
        <w:rPr>
          <w:rFonts w:asciiTheme="majorHAnsi" w:hAnsiTheme="majorHAnsi"/>
          <w:i/>
          <w:iCs/>
          <w:sz w:val="24"/>
          <w:szCs w:val="24"/>
        </w:rPr>
      </w:pPr>
    </w:p>
    <w:p w14:paraId="63134ACC" w14:textId="03E4CAF3" w:rsidR="00413D16" w:rsidRDefault="002E4A9E" w:rsidP="00E87DBE">
      <w:pPr>
        <w:rPr>
          <w:rFonts w:asciiTheme="majorHAnsi" w:hAnsiTheme="majorHAnsi"/>
          <w:sz w:val="24"/>
          <w:szCs w:val="24"/>
        </w:rPr>
      </w:pPr>
      <w:r w:rsidRPr="00610E23">
        <w:rPr>
          <w:rFonts w:asciiTheme="majorHAnsi" w:hAnsiTheme="majorHAnsi"/>
          <w:sz w:val="24"/>
          <w:szCs w:val="24"/>
        </w:rPr>
        <w:t xml:space="preserve">In the context of a renewed momentum in </w:t>
      </w:r>
      <w:r w:rsidR="00AF4483">
        <w:rPr>
          <w:rFonts w:asciiTheme="majorHAnsi" w:hAnsiTheme="majorHAnsi"/>
          <w:sz w:val="24"/>
          <w:szCs w:val="24"/>
        </w:rPr>
        <w:t xml:space="preserve">the </w:t>
      </w:r>
      <w:r w:rsidRPr="00610E23">
        <w:rPr>
          <w:rFonts w:asciiTheme="majorHAnsi" w:hAnsiTheme="majorHAnsi"/>
          <w:sz w:val="24"/>
          <w:szCs w:val="24"/>
        </w:rPr>
        <w:t xml:space="preserve">EU accession process, TAIEX is reinforcing </w:t>
      </w:r>
      <w:r w:rsidR="004866BB">
        <w:rPr>
          <w:rFonts w:asciiTheme="majorHAnsi" w:hAnsiTheme="majorHAnsi"/>
          <w:sz w:val="24"/>
          <w:szCs w:val="24"/>
        </w:rPr>
        <w:t>the</w:t>
      </w:r>
      <w:r w:rsidRPr="00610E23">
        <w:rPr>
          <w:rFonts w:asciiTheme="majorHAnsi" w:hAnsiTheme="majorHAnsi"/>
          <w:sz w:val="24"/>
          <w:szCs w:val="24"/>
        </w:rPr>
        <w:t xml:space="preserve"> existing expert database across different policy areas covered by EU </w:t>
      </w:r>
      <w:r w:rsidRPr="00610E23">
        <w:rPr>
          <w:rFonts w:asciiTheme="majorHAnsi" w:hAnsiTheme="majorHAnsi"/>
          <w:i/>
          <w:iCs/>
          <w:sz w:val="24"/>
          <w:szCs w:val="24"/>
        </w:rPr>
        <w:t>acquis</w:t>
      </w:r>
      <w:r w:rsidRPr="00610E23">
        <w:rPr>
          <w:rFonts w:asciiTheme="majorHAnsi" w:hAnsiTheme="majorHAnsi"/>
          <w:sz w:val="24"/>
          <w:szCs w:val="24"/>
        </w:rPr>
        <w:t xml:space="preserve"> and standards. </w:t>
      </w:r>
      <w:r w:rsidR="009F07BB">
        <w:rPr>
          <w:rFonts w:asciiTheme="majorHAnsi" w:hAnsiTheme="majorHAnsi"/>
          <w:sz w:val="24"/>
          <w:szCs w:val="24"/>
        </w:rPr>
        <w:t xml:space="preserve"> Moreover, </w:t>
      </w:r>
      <w:r w:rsidR="00A060E1">
        <w:rPr>
          <w:rFonts w:asciiTheme="majorHAnsi" w:hAnsiTheme="majorHAnsi"/>
          <w:sz w:val="24"/>
          <w:szCs w:val="24"/>
        </w:rPr>
        <w:t xml:space="preserve">TAIEX intends to establish </w:t>
      </w:r>
      <w:r w:rsidR="00A060E1" w:rsidRPr="00610E23">
        <w:rPr>
          <w:rFonts w:asciiTheme="majorHAnsi" w:hAnsiTheme="majorHAnsi"/>
          <w:sz w:val="24"/>
          <w:szCs w:val="24"/>
        </w:rPr>
        <w:t xml:space="preserve">pools of EUMS public experts </w:t>
      </w:r>
      <w:r w:rsidR="008144FF" w:rsidRPr="008144FF">
        <w:rPr>
          <w:rFonts w:asciiTheme="majorHAnsi" w:hAnsiTheme="majorHAnsi"/>
          <w:sz w:val="24"/>
          <w:szCs w:val="24"/>
        </w:rPr>
        <w:t xml:space="preserve">for potential rapid deployments </w:t>
      </w:r>
      <w:proofErr w:type="gramStart"/>
      <w:r w:rsidR="008144FF" w:rsidRPr="008144FF">
        <w:rPr>
          <w:rFonts w:asciiTheme="majorHAnsi" w:hAnsiTheme="majorHAnsi"/>
          <w:sz w:val="24"/>
          <w:szCs w:val="24"/>
        </w:rPr>
        <w:t>in order to</w:t>
      </w:r>
      <w:proofErr w:type="gramEnd"/>
      <w:r w:rsidR="008144FF" w:rsidRPr="008144FF">
        <w:rPr>
          <w:rFonts w:asciiTheme="majorHAnsi" w:hAnsiTheme="majorHAnsi"/>
          <w:sz w:val="24"/>
          <w:szCs w:val="24"/>
        </w:rPr>
        <w:t xml:space="preserve"> match available expert</w:t>
      </w:r>
      <w:r w:rsidR="009D48CA">
        <w:rPr>
          <w:rFonts w:asciiTheme="majorHAnsi" w:hAnsiTheme="majorHAnsi"/>
          <w:sz w:val="24"/>
          <w:szCs w:val="24"/>
        </w:rPr>
        <w:t>i</w:t>
      </w:r>
      <w:r w:rsidR="008144FF" w:rsidRPr="008144FF">
        <w:rPr>
          <w:rFonts w:asciiTheme="majorHAnsi" w:hAnsiTheme="majorHAnsi"/>
          <w:sz w:val="24"/>
          <w:szCs w:val="24"/>
        </w:rPr>
        <w:t>s</w:t>
      </w:r>
      <w:r w:rsidR="009D48CA">
        <w:rPr>
          <w:rFonts w:asciiTheme="majorHAnsi" w:hAnsiTheme="majorHAnsi"/>
          <w:sz w:val="24"/>
          <w:szCs w:val="24"/>
        </w:rPr>
        <w:t>e</w:t>
      </w:r>
      <w:r w:rsidR="008144FF" w:rsidRPr="008144FF">
        <w:rPr>
          <w:rFonts w:asciiTheme="majorHAnsi" w:hAnsiTheme="majorHAnsi"/>
          <w:sz w:val="24"/>
          <w:szCs w:val="24"/>
        </w:rPr>
        <w:t xml:space="preserve"> with the needs stemming from the accession negotiations</w:t>
      </w:r>
      <w:r w:rsidR="00D2686D">
        <w:rPr>
          <w:rFonts w:asciiTheme="majorHAnsi" w:hAnsiTheme="majorHAnsi"/>
          <w:sz w:val="24"/>
          <w:szCs w:val="24"/>
        </w:rPr>
        <w:t>, gradual integration and the Reform Agendas/Plans</w:t>
      </w:r>
      <w:r w:rsidR="008144FF">
        <w:rPr>
          <w:rFonts w:asciiTheme="majorHAnsi" w:hAnsiTheme="majorHAnsi"/>
          <w:sz w:val="24"/>
          <w:szCs w:val="24"/>
        </w:rPr>
        <w:t xml:space="preserve">. </w:t>
      </w:r>
    </w:p>
    <w:p w14:paraId="2D5A8A04" w14:textId="77777777" w:rsidR="00413D16" w:rsidRDefault="00413D16" w:rsidP="002E4A9E">
      <w:pPr>
        <w:jc w:val="both"/>
        <w:rPr>
          <w:rFonts w:asciiTheme="majorHAnsi" w:hAnsiTheme="majorHAnsi"/>
          <w:sz w:val="24"/>
          <w:szCs w:val="24"/>
        </w:rPr>
      </w:pPr>
    </w:p>
    <w:p w14:paraId="07DE4994" w14:textId="2443E3AF" w:rsidR="009D48CA" w:rsidRDefault="009D48CA" w:rsidP="3656E1A1">
      <w:pPr>
        <w:jc w:val="both"/>
        <w:rPr>
          <w:rFonts w:asciiTheme="majorHAnsi" w:hAnsiTheme="majorHAnsi"/>
          <w:sz w:val="24"/>
          <w:szCs w:val="24"/>
        </w:rPr>
      </w:pPr>
      <w:r w:rsidRPr="3656E1A1">
        <w:rPr>
          <w:rFonts w:asciiTheme="majorHAnsi" w:hAnsiTheme="majorHAnsi"/>
          <w:sz w:val="24"/>
          <w:szCs w:val="24"/>
        </w:rPr>
        <w:t xml:space="preserve">With this call, TAIEX </w:t>
      </w:r>
      <w:r w:rsidR="006E1B36" w:rsidRPr="3656E1A1">
        <w:rPr>
          <w:rFonts w:asciiTheme="majorHAnsi" w:hAnsiTheme="majorHAnsi"/>
          <w:sz w:val="24"/>
          <w:szCs w:val="24"/>
        </w:rPr>
        <w:t>aims to</w:t>
      </w:r>
      <w:r w:rsidRPr="3656E1A1">
        <w:rPr>
          <w:rFonts w:asciiTheme="majorHAnsi" w:hAnsiTheme="majorHAnsi"/>
          <w:sz w:val="24"/>
          <w:szCs w:val="24"/>
        </w:rPr>
        <w:t xml:space="preserve"> anticipat</w:t>
      </w:r>
      <w:r w:rsidR="006E1B36" w:rsidRPr="3656E1A1">
        <w:rPr>
          <w:rFonts w:asciiTheme="majorHAnsi" w:hAnsiTheme="majorHAnsi"/>
          <w:sz w:val="24"/>
          <w:szCs w:val="24"/>
        </w:rPr>
        <w:t>e</w:t>
      </w:r>
      <w:r w:rsidRPr="3656E1A1">
        <w:rPr>
          <w:rFonts w:asciiTheme="majorHAnsi" w:hAnsiTheme="majorHAnsi"/>
          <w:sz w:val="24"/>
          <w:szCs w:val="24"/>
        </w:rPr>
        <w:t xml:space="preserve"> needs</w:t>
      </w:r>
      <w:r w:rsidR="006E1B36" w:rsidRPr="3656E1A1">
        <w:rPr>
          <w:rFonts w:asciiTheme="majorHAnsi" w:hAnsiTheme="majorHAnsi"/>
          <w:sz w:val="24"/>
          <w:szCs w:val="24"/>
        </w:rPr>
        <w:t xml:space="preserve"> to the extent possible</w:t>
      </w:r>
      <w:r w:rsidR="002C1514" w:rsidRPr="3656E1A1">
        <w:rPr>
          <w:rFonts w:asciiTheme="majorHAnsi" w:hAnsiTheme="majorHAnsi"/>
          <w:sz w:val="24"/>
          <w:szCs w:val="24"/>
        </w:rPr>
        <w:t xml:space="preserve"> and thus</w:t>
      </w:r>
      <w:r w:rsidRPr="3656E1A1">
        <w:rPr>
          <w:rFonts w:asciiTheme="majorHAnsi" w:hAnsiTheme="majorHAnsi"/>
          <w:sz w:val="24"/>
          <w:szCs w:val="24"/>
        </w:rPr>
        <w:t xml:space="preserve"> accelerate </w:t>
      </w:r>
      <w:r w:rsidR="00CA28FF" w:rsidRPr="3656E1A1">
        <w:rPr>
          <w:rFonts w:asciiTheme="majorHAnsi" w:hAnsiTheme="majorHAnsi"/>
          <w:sz w:val="24"/>
          <w:szCs w:val="24"/>
        </w:rPr>
        <w:t xml:space="preserve">the </w:t>
      </w:r>
      <w:r w:rsidRPr="3656E1A1">
        <w:rPr>
          <w:rFonts w:asciiTheme="majorHAnsi" w:hAnsiTheme="majorHAnsi"/>
          <w:sz w:val="24"/>
          <w:szCs w:val="24"/>
        </w:rPr>
        <w:t xml:space="preserve">mobilisation of EUMS expertise in critical areas at short notice. The pools will be used for rapid mobilisation of available experts to deliver assistance swiftly upon concrete requests. </w:t>
      </w:r>
      <w:r w:rsidR="00066C0B">
        <w:rPr>
          <w:rFonts w:asciiTheme="majorHAnsi" w:hAnsiTheme="majorHAnsi"/>
          <w:sz w:val="24"/>
          <w:szCs w:val="24"/>
        </w:rPr>
        <w:t>To complement the existing pools, w</w:t>
      </w:r>
      <w:r w:rsidRPr="3656E1A1">
        <w:rPr>
          <w:rFonts w:asciiTheme="majorHAnsi" w:hAnsiTheme="majorHAnsi"/>
          <w:sz w:val="24"/>
          <w:szCs w:val="24"/>
        </w:rPr>
        <w:t>e are particularly looking for EUMS public sector experts with expertise in the following policy areas where experts will be needed and expected to be in high demand in 2026</w:t>
      </w:r>
      <w:r w:rsidR="00075640" w:rsidRPr="3656E1A1">
        <w:rPr>
          <w:rFonts w:asciiTheme="majorHAnsi" w:hAnsiTheme="majorHAnsi"/>
          <w:sz w:val="24"/>
          <w:szCs w:val="24"/>
        </w:rPr>
        <w:t>-2027</w:t>
      </w:r>
      <w:r w:rsidRPr="3656E1A1">
        <w:rPr>
          <w:rFonts w:asciiTheme="majorHAnsi" w:hAnsiTheme="majorHAnsi"/>
          <w:sz w:val="24"/>
          <w:szCs w:val="24"/>
        </w:rPr>
        <w:t>.</w:t>
      </w:r>
    </w:p>
    <w:p w14:paraId="1F50428E" w14:textId="77777777" w:rsidR="009D48CA" w:rsidRPr="00610E23" w:rsidRDefault="009D48CA" w:rsidP="009D48CA">
      <w:pPr>
        <w:jc w:val="both"/>
        <w:rPr>
          <w:rFonts w:asciiTheme="majorHAnsi" w:hAnsiTheme="majorHAnsi"/>
          <w:sz w:val="24"/>
          <w:szCs w:val="24"/>
        </w:rPr>
      </w:pPr>
    </w:p>
    <w:p w14:paraId="0431ADAF" w14:textId="1A0A47BF" w:rsidR="002E4A9E" w:rsidRDefault="002E4A9E" w:rsidP="48442DEB">
      <w:pPr>
        <w:rPr>
          <w:rFonts w:asciiTheme="majorHAnsi" w:hAnsiTheme="majorHAnsi"/>
          <w:sz w:val="24"/>
          <w:szCs w:val="24"/>
          <w:u w:val="single"/>
        </w:rPr>
      </w:pPr>
      <w:r w:rsidRPr="48442DEB">
        <w:rPr>
          <w:rFonts w:asciiTheme="majorHAnsi" w:hAnsiTheme="majorHAnsi"/>
          <w:sz w:val="24"/>
          <w:szCs w:val="24"/>
          <w:u w:val="single"/>
        </w:rPr>
        <w:t>Justice and home affairs:</w:t>
      </w:r>
    </w:p>
    <w:p w14:paraId="0E42FBE9" w14:textId="4DDB5F0B" w:rsidR="002E4A9E" w:rsidRPr="00610E23" w:rsidRDefault="7DC7CBA9" w:rsidP="0EF28AF1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5E6BD44C">
        <w:rPr>
          <w:rFonts w:ascii="Aptos" w:eastAsia="Aptos" w:hAnsi="Aptos" w:cs="Aptos"/>
          <w:lang w:val="en-US"/>
        </w:rPr>
        <w:t>SLAPP</w:t>
      </w:r>
      <w:r w:rsidR="06130D1E" w:rsidRPr="5E6BD44C">
        <w:rPr>
          <w:rFonts w:ascii="Aptos" w:eastAsia="Aptos" w:hAnsi="Aptos" w:cs="Aptos"/>
          <w:lang w:val="en-US"/>
        </w:rPr>
        <w:t xml:space="preserve"> </w:t>
      </w:r>
      <w:r w:rsidRPr="5E6BD44C">
        <w:rPr>
          <w:rFonts w:ascii="Aptos" w:eastAsia="Aptos" w:hAnsi="Aptos" w:cs="Aptos"/>
          <w:lang w:val="en-US"/>
        </w:rPr>
        <w:t>(Strategic Lawsuit Against Public Participation)</w:t>
      </w:r>
    </w:p>
    <w:p w14:paraId="1F749FB8" w14:textId="50A23E06" w:rsidR="46D26F54" w:rsidRDefault="46D26F54" w:rsidP="5E6BD44C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5E6BD44C">
        <w:rPr>
          <w:rFonts w:ascii="Aptos" w:eastAsia="Aptos" w:hAnsi="Aptos" w:cs="Aptos"/>
          <w:lang w:val="en-US"/>
        </w:rPr>
        <w:t>Political party financing / political advertising</w:t>
      </w:r>
    </w:p>
    <w:p w14:paraId="2BFCF339" w14:textId="281C41EA" w:rsidR="002E4A9E" w:rsidRPr="00610E23" w:rsidRDefault="7DC7CBA9" w:rsidP="0EF28AF1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48442DEB">
        <w:rPr>
          <w:rFonts w:ascii="Aptos" w:eastAsia="Aptos" w:hAnsi="Aptos" w:cs="Aptos"/>
          <w:lang w:val="en-US"/>
        </w:rPr>
        <w:t>Whistleblowing</w:t>
      </w:r>
    </w:p>
    <w:p w14:paraId="374A81F4" w14:textId="53F1DED9" w:rsidR="002E4A9E" w:rsidRPr="00610E23" w:rsidRDefault="0086DB16" w:rsidP="0EF28AF1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48442DEB">
        <w:rPr>
          <w:rFonts w:ascii="Aptos" w:eastAsia="Aptos" w:hAnsi="Aptos" w:cs="Aptos"/>
          <w:lang w:val="en-US"/>
        </w:rPr>
        <w:t>Juvenile justice, rights of the child</w:t>
      </w:r>
    </w:p>
    <w:p w14:paraId="5751509C" w14:textId="0613184B" w:rsidR="002E4A9E" w:rsidRPr="00610E23" w:rsidRDefault="0DD05131" w:rsidP="0EF28AF1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48442DEB">
        <w:rPr>
          <w:rFonts w:ascii="Aptos" w:eastAsia="Aptos" w:hAnsi="Aptos" w:cs="Aptos"/>
          <w:lang w:val="en-US"/>
        </w:rPr>
        <w:t>Domestic violence and violence against women</w:t>
      </w:r>
    </w:p>
    <w:p w14:paraId="1979E1A1" w14:textId="05967A27" w:rsidR="002E4A9E" w:rsidRPr="00610E23" w:rsidRDefault="7DC7CBA9" w:rsidP="0EF28AF1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48442DEB">
        <w:rPr>
          <w:rFonts w:ascii="Aptos" w:eastAsia="Aptos" w:hAnsi="Aptos" w:cs="Aptos"/>
          <w:lang w:val="en-US"/>
        </w:rPr>
        <w:t>Asylum and migration</w:t>
      </w:r>
    </w:p>
    <w:p w14:paraId="4AA98EED" w14:textId="58D8BE62" w:rsidR="002E4A9E" w:rsidRPr="00610E23" w:rsidRDefault="0CDDECE4" w:rsidP="0EF28AF1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48442DEB">
        <w:rPr>
          <w:rFonts w:ascii="Aptos" w:eastAsia="Aptos" w:hAnsi="Aptos" w:cs="Aptos"/>
          <w:lang w:val="en-US"/>
        </w:rPr>
        <w:t xml:space="preserve">EU strategic and regulatory framework with the EU </w:t>
      </w:r>
      <w:r w:rsidRPr="48442DEB">
        <w:rPr>
          <w:rFonts w:ascii="Aptos" w:eastAsia="Aptos" w:hAnsi="Aptos" w:cs="Aptos"/>
          <w:i/>
          <w:iCs/>
          <w:lang w:val="en-US"/>
        </w:rPr>
        <w:t>acquis</w:t>
      </w:r>
      <w:r w:rsidRPr="48442DEB">
        <w:rPr>
          <w:rFonts w:ascii="Aptos" w:eastAsia="Aptos" w:hAnsi="Aptos" w:cs="Aptos"/>
          <w:lang w:val="en-US"/>
        </w:rPr>
        <w:t xml:space="preserve"> on cooperation in the field of drugs</w:t>
      </w:r>
    </w:p>
    <w:p w14:paraId="78DFABC8" w14:textId="0268494E" w:rsidR="002E4A9E" w:rsidRPr="00610E23" w:rsidRDefault="0CDDECE4" w:rsidP="0EF28AF1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48442DEB">
        <w:rPr>
          <w:rFonts w:ascii="Aptos" w:eastAsia="Aptos" w:hAnsi="Aptos" w:cs="Aptos"/>
          <w:lang w:val="en-US"/>
        </w:rPr>
        <w:t>Financial intelligence</w:t>
      </w:r>
    </w:p>
    <w:p w14:paraId="3FDBD372" w14:textId="72116C23" w:rsidR="002E4A9E" w:rsidRPr="00610E23" w:rsidRDefault="45C1DD1F" w:rsidP="0EF28AF1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proofErr w:type="gramStart"/>
      <w:r w:rsidRPr="48442DEB">
        <w:rPr>
          <w:rFonts w:ascii="Aptos" w:eastAsia="Aptos" w:hAnsi="Aptos" w:cs="Aptos"/>
          <w:lang w:val="en-US"/>
        </w:rPr>
        <w:t>Counter-terrorism</w:t>
      </w:r>
      <w:proofErr w:type="gramEnd"/>
      <w:r w:rsidRPr="48442DEB">
        <w:rPr>
          <w:rFonts w:ascii="Aptos" w:eastAsia="Aptos" w:hAnsi="Aptos" w:cs="Aptos"/>
          <w:lang w:val="en-US"/>
        </w:rPr>
        <w:t xml:space="preserve"> </w:t>
      </w:r>
    </w:p>
    <w:p w14:paraId="175359C5" w14:textId="2EC17BB8" w:rsidR="002E4A9E" w:rsidRPr="00610E23" w:rsidRDefault="45C1DD1F" w:rsidP="0EF28AF1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48442DEB">
        <w:rPr>
          <w:rFonts w:ascii="Aptos" w:eastAsia="Aptos" w:hAnsi="Aptos" w:cs="Aptos"/>
          <w:lang w:val="en-US"/>
        </w:rPr>
        <w:t xml:space="preserve">Countering </w:t>
      </w:r>
      <w:proofErr w:type="spellStart"/>
      <w:r w:rsidRPr="48442DEB">
        <w:rPr>
          <w:rFonts w:ascii="Aptos" w:eastAsia="Aptos" w:hAnsi="Aptos" w:cs="Aptos"/>
          <w:lang w:val="en-US"/>
        </w:rPr>
        <w:t>radicalisation</w:t>
      </w:r>
      <w:proofErr w:type="spellEnd"/>
      <w:r w:rsidRPr="48442DEB">
        <w:rPr>
          <w:rFonts w:ascii="Aptos" w:eastAsia="Aptos" w:hAnsi="Aptos" w:cs="Aptos"/>
          <w:lang w:val="en-US"/>
        </w:rPr>
        <w:t xml:space="preserve"> and violent extremism</w:t>
      </w:r>
    </w:p>
    <w:p w14:paraId="5EB7D4FD" w14:textId="1C47ADDF" w:rsidR="1D3A149C" w:rsidRDefault="1D3A149C" w:rsidP="48442DEB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5E6BD44C">
        <w:rPr>
          <w:rFonts w:ascii="Aptos" w:eastAsia="Aptos" w:hAnsi="Aptos" w:cs="Aptos"/>
          <w:lang w:val="en-US"/>
        </w:rPr>
        <w:t>Hybrid threats and FIMI (Foreign Information Manipulation and Interference)</w:t>
      </w:r>
      <w:r w:rsidR="5FF7D8AE" w:rsidRPr="5E6BD44C">
        <w:rPr>
          <w:rFonts w:ascii="Aptos" w:eastAsia="Aptos" w:hAnsi="Aptos" w:cs="Aptos"/>
          <w:lang w:val="en-US"/>
        </w:rPr>
        <w:t xml:space="preserve"> </w:t>
      </w:r>
    </w:p>
    <w:p w14:paraId="701EAA16" w14:textId="1B74BD79" w:rsidR="4A123378" w:rsidRDefault="4A123378" w:rsidP="48442DEB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48442DEB">
        <w:rPr>
          <w:rFonts w:ascii="Aptos" w:eastAsia="Aptos" w:hAnsi="Aptos" w:cs="Aptos"/>
          <w:lang w:val="en-US"/>
        </w:rPr>
        <w:t>Trade policy</w:t>
      </w:r>
    </w:p>
    <w:p w14:paraId="5B42FE81" w14:textId="5A973361" w:rsidR="4A123378" w:rsidRDefault="4A123378" w:rsidP="48442DEB">
      <w:pPr>
        <w:pStyle w:val="ListParagraph"/>
        <w:numPr>
          <w:ilvl w:val="0"/>
          <w:numId w:val="3"/>
        </w:numPr>
        <w:rPr>
          <w:rFonts w:ascii="Aptos" w:eastAsia="Aptos" w:hAnsi="Aptos" w:cs="Aptos"/>
          <w:lang w:val="en-US"/>
        </w:rPr>
      </w:pPr>
      <w:r w:rsidRPr="5E6BD44C">
        <w:rPr>
          <w:rFonts w:ascii="Aptos" w:eastAsia="Aptos" w:hAnsi="Aptos" w:cs="Aptos"/>
          <w:lang w:val="en-US"/>
        </w:rPr>
        <w:t>Strategic communication</w:t>
      </w:r>
      <w:r w:rsidR="2546676E" w:rsidRPr="5E6BD44C">
        <w:rPr>
          <w:rFonts w:ascii="Aptos" w:eastAsia="Aptos" w:hAnsi="Aptos" w:cs="Aptos"/>
          <w:lang w:val="en-US"/>
        </w:rPr>
        <w:t xml:space="preserve"> (particularly </w:t>
      </w:r>
      <w:r w:rsidR="0DC9328B" w:rsidRPr="5E6BD44C">
        <w:rPr>
          <w:rFonts w:ascii="Aptos" w:eastAsia="Aptos" w:hAnsi="Aptos" w:cs="Aptos"/>
          <w:lang w:val="en-US"/>
        </w:rPr>
        <w:t xml:space="preserve">in the context of elections and countering FIMI and hybrid threats </w:t>
      </w:r>
      <w:r w:rsidR="00866F5C">
        <w:rPr>
          <w:rFonts w:ascii="Aptos" w:eastAsia="Aptos" w:hAnsi="Aptos" w:cs="Aptos"/>
          <w:lang w:val="en-US"/>
        </w:rPr>
        <w:t>from</w:t>
      </w:r>
      <w:r w:rsidR="2546676E" w:rsidRPr="5E6BD44C">
        <w:rPr>
          <w:rFonts w:ascii="Aptos" w:eastAsia="Aptos" w:hAnsi="Aptos" w:cs="Aptos"/>
          <w:lang w:val="en-US"/>
        </w:rPr>
        <w:t xml:space="preserve"> the Central Electoral Commissions, the Prime Minister’s Office, </w:t>
      </w:r>
      <w:r w:rsidR="2FC456C8" w:rsidRPr="5E6BD44C">
        <w:rPr>
          <w:rFonts w:ascii="Aptos" w:eastAsia="Aptos" w:hAnsi="Aptos" w:cs="Aptos"/>
          <w:lang w:val="en-US"/>
        </w:rPr>
        <w:t xml:space="preserve">the National Security Services, </w:t>
      </w:r>
      <w:r w:rsidR="2546676E" w:rsidRPr="5E6BD44C">
        <w:rPr>
          <w:rFonts w:ascii="Aptos" w:eastAsia="Aptos" w:hAnsi="Aptos" w:cs="Aptos"/>
          <w:lang w:val="en-US"/>
        </w:rPr>
        <w:t>and/or the Ministry of Foreign Affairs)</w:t>
      </w:r>
    </w:p>
    <w:p w14:paraId="19DDC392" w14:textId="77777777" w:rsidR="002E4A9E" w:rsidRPr="00610E23" w:rsidRDefault="002E4A9E" w:rsidP="002E4A9E">
      <w:pPr>
        <w:rPr>
          <w:rFonts w:asciiTheme="majorHAnsi" w:hAnsiTheme="majorHAnsi"/>
          <w:sz w:val="24"/>
          <w:szCs w:val="24"/>
        </w:rPr>
      </w:pPr>
    </w:p>
    <w:p w14:paraId="21B9EAB7" w14:textId="4B24CD81" w:rsidR="002E4A9E" w:rsidRPr="00610E23" w:rsidRDefault="002E4A9E" w:rsidP="002E4A9E">
      <w:pPr>
        <w:rPr>
          <w:rFonts w:asciiTheme="majorHAnsi" w:hAnsiTheme="majorHAnsi"/>
          <w:sz w:val="24"/>
          <w:szCs w:val="24"/>
          <w:u w:val="single"/>
        </w:rPr>
      </w:pPr>
      <w:r w:rsidRPr="00610E23">
        <w:rPr>
          <w:rFonts w:asciiTheme="majorHAnsi" w:hAnsiTheme="majorHAnsi"/>
          <w:sz w:val="24"/>
          <w:szCs w:val="24"/>
          <w:u w:val="single"/>
        </w:rPr>
        <w:lastRenderedPageBreak/>
        <w:t>Internal market:</w:t>
      </w:r>
    </w:p>
    <w:p w14:paraId="784374C0" w14:textId="40E687AB" w:rsidR="002E4A9E" w:rsidRPr="00610E23" w:rsidRDefault="030D6AB5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Company law (business organisations, Business Register Interconnection System (BRIS) etc.)</w:t>
      </w:r>
    </w:p>
    <w:p w14:paraId="3D115AC1" w14:textId="15291092" w:rsidR="002E4A9E" w:rsidRPr="00610E23" w:rsidRDefault="26603ECE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Capital markets, including the free movement of capital</w:t>
      </w:r>
    </w:p>
    <w:p w14:paraId="598B27F8" w14:textId="7701DCA4" w:rsidR="002E4A9E" w:rsidRPr="00610E23" w:rsidRDefault="26603ECE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Virtual and Cryptocurrency</w:t>
      </w:r>
    </w:p>
    <w:p w14:paraId="7B6E7369" w14:textId="6646C218" w:rsidR="002E4A9E" w:rsidRPr="00610E23" w:rsidRDefault="26603ECE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Financial Services</w:t>
      </w:r>
    </w:p>
    <w:p w14:paraId="030F6807" w14:textId="7247E1C4" w:rsidR="002E4A9E" w:rsidRPr="00610E23" w:rsidRDefault="26603ECE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Market surveillance</w:t>
      </w:r>
    </w:p>
    <w:p w14:paraId="70E5B697" w14:textId="70A50850" w:rsidR="002E4A9E" w:rsidRPr="00610E23" w:rsidRDefault="26603ECE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Expertise from national central banks</w:t>
      </w:r>
    </w:p>
    <w:p w14:paraId="5DE153EB" w14:textId="77777777" w:rsidR="002E4A9E" w:rsidRPr="00610E23" w:rsidRDefault="002E4A9E" w:rsidP="002E4A9E">
      <w:pPr>
        <w:rPr>
          <w:rFonts w:asciiTheme="majorHAnsi" w:hAnsiTheme="majorHAnsi"/>
          <w:sz w:val="24"/>
          <w:szCs w:val="24"/>
        </w:rPr>
      </w:pPr>
    </w:p>
    <w:p w14:paraId="1EDFD7A6" w14:textId="46B0D74E" w:rsidR="002E4A9E" w:rsidRPr="00610E23" w:rsidRDefault="002E4A9E" w:rsidP="002E4A9E">
      <w:pPr>
        <w:rPr>
          <w:rFonts w:asciiTheme="majorHAnsi" w:hAnsiTheme="majorHAnsi"/>
          <w:sz w:val="24"/>
          <w:szCs w:val="24"/>
          <w:u w:val="single"/>
        </w:rPr>
      </w:pPr>
      <w:r w:rsidRPr="00610E23">
        <w:rPr>
          <w:rFonts w:asciiTheme="majorHAnsi" w:hAnsiTheme="majorHAnsi"/>
          <w:sz w:val="24"/>
          <w:szCs w:val="24"/>
          <w:u w:val="single"/>
        </w:rPr>
        <w:t>Energy, transport, and digital and green transition:</w:t>
      </w:r>
    </w:p>
    <w:p w14:paraId="4B500054" w14:textId="40698E04" w:rsidR="002E4A9E" w:rsidRPr="00610E23" w:rsidRDefault="00D13F81" w:rsidP="002E4A9E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Nuclear energy</w:t>
      </w:r>
    </w:p>
    <w:p w14:paraId="521D2776" w14:textId="4D66D005" w:rsidR="002E4A9E" w:rsidRPr="00610E23" w:rsidRDefault="004D42D4" w:rsidP="002E4A9E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Railway transport</w:t>
      </w:r>
    </w:p>
    <w:p w14:paraId="45DE2352" w14:textId="625613BA" w:rsidR="002E4A9E" w:rsidRDefault="004D42D4" w:rsidP="002E4A9E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Ecodesign</w:t>
      </w:r>
      <w:proofErr w:type="spellEnd"/>
      <w:r>
        <w:rPr>
          <w:rFonts w:asciiTheme="majorHAnsi" w:hAnsiTheme="majorHAnsi"/>
          <w:sz w:val="24"/>
          <w:szCs w:val="24"/>
        </w:rPr>
        <w:t xml:space="preserve"> and circular economy</w:t>
      </w:r>
    </w:p>
    <w:p w14:paraId="77AB37C1" w14:textId="0F5B7EE7" w:rsidR="004D42D4" w:rsidRDefault="00A97BDC" w:rsidP="0EF28AF1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  <w:lang w:val="en-GB"/>
        </w:rPr>
      </w:pPr>
      <w:r w:rsidRPr="0EF28AF1">
        <w:rPr>
          <w:rFonts w:asciiTheme="majorHAnsi" w:hAnsiTheme="majorHAnsi"/>
          <w:sz w:val="24"/>
          <w:szCs w:val="24"/>
          <w:lang w:val="en-GB"/>
        </w:rPr>
        <w:t>Carbon pricing, CBAM, MRVA, ETS</w:t>
      </w:r>
      <w:r w:rsidR="5ACC9B60" w:rsidRPr="0EF28AF1">
        <w:rPr>
          <w:rFonts w:asciiTheme="majorHAnsi" w:hAnsiTheme="majorHAnsi"/>
          <w:sz w:val="24"/>
          <w:szCs w:val="24"/>
          <w:lang w:val="en-GB"/>
        </w:rPr>
        <w:t>2</w:t>
      </w:r>
    </w:p>
    <w:p w14:paraId="47C9A7D2" w14:textId="1E819D94" w:rsidR="00B245D2" w:rsidRDefault="00B245D2" w:rsidP="002E4A9E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  <w:lang w:val="en-GB"/>
        </w:rPr>
      </w:pPr>
      <w:r>
        <w:rPr>
          <w:rFonts w:asciiTheme="majorHAnsi" w:hAnsiTheme="majorHAnsi"/>
          <w:sz w:val="24"/>
          <w:szCs w:val="24"/>
          <w:lang w:val="en-GB"/>
        </w:rPr>
        <w:t>Audiovisual and Media Freedom</w:t>
      </w:r>
    </w:p>
    <w:p w14:paraId="6CEBF1A6" w14:textId="11C6C8E8" w:rsidR="00B245D2" w:rsidRDefault="00B245D2" w:rsidP="002E4A9E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  <w:lang w:val="en-GB"/>
        </w:rPr>
      </w:pPr>
      <w:r>
        <w:rPr>
          <w:rFonts w:asciiTheme="majorHAnsi" w:hAnsiTheme="majorHAnsi"/>
          <w:sz w:val="24"/>
          <w:szCs w:val="24"/>
          <w:lang w:val="en-GB"/>
        </w:rPr>
        <w:t>Digital services (DSA, DMA</w:t>
      </w:r>
      <w:r w:rsidR="00D4254A">
        <w:rPr>
          <w:rFonts w:asciiTheme="majorHAnsi" w:hAnsiTheme="majorHAnsi"/>
          <w:sz w:val="24"/>
          <w:szCs w:val="24"/>
          <w:lang w:val="en-GB"/>
        </w:rPr>
        <w:t>, geo-blocking, internet governance</w:t>
      </w:r>
      <w:r>
        <w:rPr>
          <w:rFonts w:asciiTheme="majorHAnsi" w:hAnsiTheme="majorHAnsi"/>
          <w:sz w:val="24"/>
          <w:szCs w:val="24"/>
          <w:lang w:val="en-GB"/>
        </w:rPr>
        <w:t>)</w:t>
      </w:r>
    </w:p>
    <w:p w14:paraId="77D28FDE" w14:textId="546F313D" w:rsidR="00D4254A" w:rsidRPr="00A97BDC" w:rsidRDefault="00D4254A" w:rsidP="002E4A9E">
      <w:pPr>
        <w:pStyle w:val="ListParagraph"/>
        <w:numPr>
          <w:ilvl w:val="0"/>
          <w:numId w:val="2"/>
        </w:numPr>
        <w:rPr>
          <w:rFonts w:asciiTheme="majorHAnsi" w:hAnsiTheme="majorHAnsi"/>
          <w:sz w:val="24"/>
          <w:szCs w:val="24"/>
          <w:lang w:val="en-GB"/>
        </w:rPr>
      </w:pPr>
      <w:r>
        <w:rPr>
          <w:rFonts w:asciiTheme="majorHAnsi" w:hAnsiTheme="majorHAnsi"/>
          <w:sz w:val="24"/>
          <w:szCs w:val="24"/>
          <w:lang w:val="en-GB"/>
        </w:rPr>
        <w:t>Digital transition in the public sector</w:t>
      </w:r>
    </w:p>
    <w:p w14:paraId="1AD082B0" w14:textId="77777777" w:rsidR="00610E23" w:rsidRPr="00A97BDC" w:rsidRDefault="00610E23" w:rsidP="002E4A9E">
      <w:pPr>
        <w:rPr>
          <w:rFonts w:asciiTheme="majorHAnsi" w:hAnsiTheme="majorHAnsi"/>
          <w:sz w:val="24"/>
          <w:szCs w:val="24"/>
          <w:lang w:val="en-GB"/>
        </w:rPr>
      </w:pPr>
    </w:p>
    <w:p w14:paraId="462A9993" w14:textId="20BD1B72" w:rsidR="002E4A9E" w:rsidRPr="00610E23" w:rsidRDefault="002E4A9E" w:rsidP="08B4541B">
      <w:pPr>
        <w:rPr>
          <w:rFonts w:asciiTheme="majorHAnsi" w:hAnsiTheme="majorHAnsi"/>
          <w:sz w:val="24"/>
          <w:szCs w:val="24"/>
          <w:u w:val="single"/>
        </w:rPr>
      </w:pPr>
      <w:r w:rsidRPr="08B4541B">
        <w:rPr>
          <w:rFonts w:asciiTheme="majorHAnsi" w:hAnsiTheme="majorHAnsi"/>
          <w:sz w:val="24"/>
          <w:szCs w:val="24"/>
          <w:u w:val="single"/>
        </w:rPr>
        <w:t>Agriculture</w:t>
      </w:r>
      <w:r w:rsidR="4F9C2DC8" w:rsidRPr="08B4541B">
        <w:rPr>
          <w:rFonts w:asciiTheme="majorHAnsi" w:hAnsiTheme="majorHAnsi"/>
          <w:sz w:val="24"/>
          <w:szCs w:val="24"/>
          <w:u w:val="single"/>
        </w:rPr>
        <w:t xml:space="preserve">, Phytosanitary, </w:t>
      </w:r>
      <w:r w:rsidR="00610E23" w:rsidRPr="08B4541B">
        <w:rPr>
          <w:rFonts w:asciiTheme="majorHAnsi" w:hAnsiTheme="majorHAnsi"/>
          <w:sz w:val="24"/>
          <w:szCs w:val="24"/>
          <w:u w:val="single"/>
        </w:rPr>
        <w:t>fisheries</w:t>
      </w:r>
      <w:r w:rsidR="1AA90EA5" w:rsidRPr="08B4541B">
        <w:rPr>
          <w:rFonts w:asciiTheme="majorHAnsi" w:hAnsiTheme="majorHAnsi"/>
          <w:sz w:val="24"/>
          <w:szCs w:val="24"/>
          <w:u w:val="single"/>
        </w:rPr>
        <w:t xml:space="preserve"> and health</w:t>
      </w:r>
    </w:p>
    <w:p w14:paraId="2F121876" w14:textId="4415622E" w:rsidR="00610E23" w:rsidRPr="00610E23" w:rsidRDefault="5C834772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Veterinary medicinal products</w:t>
      </w:r>
    </w:p>
    <w:p w14:paraId="75274ECB" w14:textId="41CC16B8" w:rsidR="00610E23" w:rsidRPr="00610E23" w:rsidRDefault="5C834772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 xml:space="preserve">Phytosanitary rules </w:t>
      </w:r>
      <w:r w:rsidR="02F7B272" w:rsidRPr="08B4541B">
        <w:rPr>
          <w:rFonts w:asciiTheme="majorHAnsi" w:eastAsiaTheme="majorEastAsia" w:hAnsiTheme="majorHAnsi" w:cstheme="majorBidi"/>
          <w:sz w:val="24"/>
          <w:szCs w:val="24"/>
        </w:rPr>
        <w:t>(</w:t>
      </w:r>
      <w:r w:rsidRPr="08B4541B">
        <w:rPr>
          <w:rFonts w:asciiTheme="majorHAnsi" w:eastAsiaTheme="majorEastAsia" w:hAnsiTheme="majorHAnsi" w:cstheme="majorBidi"/>
          <w:sz w:val="24"/>
          <w:szCs w:val="24"/>
        </w:rPr>
        <w:t>relating to animal carcasses</w:t>
      </w:r>
      <w:r w:rsidR="5DA17CD8" w:rsidRPr="08B4541B">
        <w:rPr>
          <w:rFonts w:asciiTheme="majorHAnsi" w:eastAsiaTheme="majorEastAsia" w:hAnsiTheme="majorHAnsi" w:cstheme="majorBidi"/>
          <w:sz w:val="24"/>
          <w:szCs w:val="24"/>
        </w:rPr>
        <w:t>)</w:t>
      </w:r>
      <w:r w:rsidRPr="08B4541B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</w:p>
    <w:p w14:paraId="7D5AFE8D" w14:textId="60C21295" w:rsidR="00610E23" w:rsidRPr="00610E23" w:rsidRDefault="46FB26CC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Official Controls</w:t>
      </w:r>
    </w:p>
    <w:p w14:paraId="0FCCD1C8" w14:textId="1103E9E1" w:rsidR="00610E23" w:rsidRPr="00610E23" w:rsidRDefault="5C834772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Animal by-products</w:t>
      </w:r>
    </w:p>
    <w:p w14:paraId="60DF06A9" w14:textId="3A20ABFD" w:rsidR="00610E23" w:rsidRPr="00610E23" w:rsidRDefault="5C834772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 xml:space="preserve">Risk assessment &amp; mitigation in the veterinary and agricultural sector </w:t>
      </w:r>
    </w:p>
    <w:p w14:paraId="7483469C" w14:textId="6880BE91" w:rsidR="00610E23" w:rsidRPr="00610E23" w:rsidRDefault="5C834772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 xml:space="preserve">Medical </w:t>
      </w:r>
      <w:r w:rsidR="74942C20" w:rsidRPr="08B4541B">
        <w:rPr>
          <w:rFonts w:asciiTheme="majorHAnsi" w:eastAsiaTheme="majorEastAsia" w:hAnsiTheme="majorHAnsi" w:cstheme="majorBidi"/>
          <w:sz w:val="24"/>
          <w:szCs w:val="24"/>
        </w:rPr>
        <w:t>d</w:t>
      </w:r>
      <w:r w:rsidRPr="08B4541B">
        <w:rPr>
          <w:rFonts w:asciiTheme="majorHAnsi" w:eastAsiaTheme="majorEastAsia" w:hAnsiTheme="majorHAnsi" w:cstheme="majorBidi"/>
          <w:sz w:val="24"/>
          <w:szCs w:val="24"/>
        </w:rPr>
        <w:t>evices and In-vitro diagnostics</w:t>
      </w:r>
    </w:p>
    <w:p w14:paraId="68903807" w14:textId="02884396" w:rsidR="00610E23" w:rsidRPr="00610E23" w:rsidRDefault="5C834772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Substances of Human Origin (</w:t>
      </w:r>
      <w:proofErr w:type="spellStart"/>
      <w:r w:rsidRPr="08B4541B">
        <w:rPr>
          <w:rFonts w:asciiTheme="majorHAnsi" w:eastAsiaTheme="majorEastAsia" w:hAnsiTheme="majorHAnsi" w:cstheme="majorBidi"/>
          <w:sz w:val="24"/>
          <w:szCs w:val="24"/>
        </w:rPr>
        <w:t>SoHO</w:t>
      </w:r>
      <w:proofErr w:type="spellEnd"/>
      <w:r w:rsidRPr="08B4541B">
        <w:rPr>
          <w:rFonts w:asciiTheme="majorHAnsi" w:eastAsiaTheme="majorEastAsia" w:hAnsiTheme="majorHAnsi" w:cstheme="majorBidi"/>
          <w:sz w:val="24"/>
          <w:szCs w:val="24"/>
        </w:rPr>
        <w:t>)</w:t>
      </w:r>
    </w:p>
    <w:p w14:paraId="45B48BCA" w14:textId="438F1682" w:rsidR="6E717F93" w:rsidRDefault="6E717F93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t>Drug abuse prevention</w:t>
      </w:r>
    </w:p>
    <w:p w14:paraId="7CFDC6FD" w14:textId="1CF6BA25" w:rsidR="6E717F93" w:rsidRDefault="6E717F93" w:rsidP="08B4541B">
      <w:pPr>
        <w:pStyle w:val="ListParagraph"/>
        <w:numPr>
          <w:ilvl w:val="0"/>
          <w:numId w:val="2"/>
        </w:numPr>
        <w:rPr>
          <w:rFonts w:asciiTheme="majorHAnsi" w:eastAsiaTheme="majorEastAsia" w:hAnsiTheme="majorHAnsi" w:cstheme="majorBidi"/>
          <w:sz w:val="24"/>
          <w:szCs w:val="24"/>
        </w:rPr>
      </w:pPr>
      <w:r w:rsidRPr="08B4541B">
        <w:rPr>
          <w:rFonts w:asciiTheme="majorHAnsi" w:eastAsiaTheme="majorEastAsia" w:hAnsiTheme="majorHAnsi" w:cstheme="majorBidi"/>
          <w:sz w:val="24"/>
          <w:szCs w:val="24"/>
        </w:rPr>
        <w:lastRenderedPageBreak/>
        <w:t>Cross-border healthcare and e-health</w:t>
      </w:r>
    </w:p>
    <w:p w14:paraId="75FDD72E" w14:textId="77777777" w:rsidR="002E4A9E" w:rsidRPr="00610E23" w:rsidRDefault="002E4A9E" w:rsidP="002E4A9E">
      <w:pPr>
        <w:rPr>
          <w:rFonts w:asciiTheme="majorHAnsi" w:hAnsiTheme="majorHAnsi"/>
          <w:sz w:val="24"/>
          <w:szCs w:val="24"/>
        </w:rPr>
      </w:pPr>
    </w:p>
    <w:p w14:paraId="32D88699" w14:textId="34FF0BEA" w:rsidR="00382330" w:rsidRDefault="004F3403" w:rsidP="00E37511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So, if you are a</w:t>
      </w:r>
      <w:r w:rsidR="00CA6371">
        <w:rPr>
          <w:rFonts w:asciiTheme="majorHAnsi" w:hAnsiTheme="majorHAnsi"/>
          <w:sz w:val="24"/>
          <w:szCs w:val="24"/>
        </w:rPr>
        <w:t>n expert in one of the above policy areas</w:t>
      </w:r>
      <w:r w:rsidR="008F5FE5">
        <w:rPr>
          <w:rFonts w:asciiTheme="majorHAnsi" w:hAnsiTheme="majorHAnsi"/>
          <w:sz w:val="24"/>
          <w:szCs w:val="24"/>
        </w:rPr>
        <w:t xml:space="preserve"> working in the public sector in one of the EU Member States</w:t>
      </w:r>
      <w:r w:rsidR="009873BD">
        <w:rPr>
          <w:rFonts w:asciiTheme="majorHAnsi" w:hAnsiTheme="majorHAnsi"/>
          <w:sz w:val="24"/>
          <w:szCs w:val="24"/>
        </w:rPr>
        <w:t xml:space="preserve">, </w:t>
      </w:r>
      <w:r w:rsidR="00971CC0">
        <w:rPr>
          <w:rFonts w:asciiTheme="majorHAnsi" w:hAnsiTheme="majorHAnsi"/>
          <w:sz w:val="24"/>
          <w:szCs w:val="24"/>
        </w:rPr>
        <w:t>you may express your interest in joining th</w:t>
      </w:r>
      <w:r w:rsidR="00A511D0">
        <w:rPr>
          <w:rFonts w:asciiTheme="majorHAnsi" w:hAnsiTheme="majorHAnsi"/>
          <w:sz w:val="24"/>
          <w:szCs w:val="24"/>
        </w:rPr>
        <w:t xml:space="preserve">e pools of experts, </w:t>
      </w:r>
      <w:r w:rsidR="00A511D0" w:rsidRPr="000A098E">
        <w:rPr>
          <w:rFonts w:asciiTheme="majorHAnsi" w:hAnsiTheme="majorHAnsi"/>
          <w:b/>
          <w:bCs/>
          <w:sz w:val="24"/>
          <w:szCs w:val="24"/>
        </w:rPr>
        <w:t xml:space="preserve">even if you are already registered in the TAIEX </w:t>
      </w:r>
      <w:r w:rsidR="00382330" w:rsidRPr="000A098E">
        <w:rPr>
          <w:rFonts w:asciiTheme="majorHAnsi" w:hAnsiTheme="majorHAnsi"/>
          <w:b/>
          <w:bCs/>
          <w:sz w:val="24"/>
          <w:szCs w:val="24"/>
        </w:rPr>
        <w:t>database</w:t>
      </w:r>
      <w:r w:rsidR="00382330">
        <w:rPr>
          <w:rFonts w:asciiTheme="majorHAnsi" w:hAnsiTheme="majorHAnsi"/>
          <w:sz w:val="24"/>
          <w:szCs w:val="24"/>
        </w:rPr>
        <w:t>.</w:t>
      </w:r>
      <w:r w:rsidR="009936A7">
        <w:rPr>
          <w:rFonts w:asciiTheme="majorHAnsi" w:hAnsiTheme="majorHAnsi"/>
          <w:sz w:val="24"/>
          <w:szCs w:val="24"/>
        </w:rPr>
        <w:t xml:space="preserve"> The working language is English.</w:t>
      </w:r>
    </w:p>
    <w:p w14:paraId="041D49DF" w14:textId="77777777" w:rsidR="00382330" w:rsidRDefault="00382330" w:rsidP="00E37511">
      <w:pPr>
        <w:jc w:val="both"/>
        <w:rPr>
          <w:rFonts w:asciiTheme="majorHAnsi" w:hAnsiTheme="majorHAnsi"/>
          <w:sz w:val="24"/>
          <w:szCs w:val="24"/>
        </w:rPr>
      </w:pPr>
    </w:p>
    <w:p w14:paraId="2634EA1C" w14:textId="0441F895" w:rsidR="002E4A9E" w:rsidRPr="00610E23" w:rsidRDefault="002E4A9E" w:rsidP="00E37511">
      <w:pPr>
        <w:jc w:val="both"/>
        <w:rPr>
          <w:rFonts w:asciiTheme="majorHAnsi" w:hAnsiTheme="majorHAnsi"/>
          <w:sz w:val="24"/>
          <w:szCs w:val="24"/>
        </w:rPr>
      </w:pPr>
      <w:r w:rsidRPr="3656E1A1">
        <w:rPr>
          <w:rFonts w:asciiTheme="majorHAnsi" w:hAnsiTheme="majorHAnsi"/>
          <w:sz w:val="24"/>
          <w:szCs w:val="24"/>
        </w:rPr>
        <w:t xml:space="preserve">Experts expressing their interest in joining expert pools may contribute to providing </w:t>
      </w:r>
      <w:r w:rsidRPr="3656E1A1">
        <w:rPr>
          <w:rFonts w:asciiTheme="majorHAnsi" w:hAnsiTheme="majorHAnsi"/>
          <w:b/>
          <w:bCs/>
          <w:sz w:val="24"/>
          <w:szCs w:val="24"/>
        </w:rPr>
        <w:t>technical advice</w:t>
      </w:r>
      <w:r w:rsidR="002E697D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2E697D" w:rsidRPr="002E697D">
        <w:rPr>
          <w:rFonts w:asciiTheme="majorHAnsi" w:hAnsiTheme="majorHAnsi"/>
          <w:sz w:val="24"/>
          <w:szCs w:val="24"/>
        </w:rPr>
        <w:t>and</w:t>
      </w:r>
      <w:r w:rsidR="002E697D">
        <w:rPr>
          <w:rFonts w:asciiTheme="majorHAnsi" w:hAnsiTheme="majorHAnsi"/>
          <w:b/>
          <w:bCs/>
          <w:sz w:val="24"/>
          <w:szCs w:val="24"/>
        </w:rPr>
        <w:t xml:space="preserve"> institutional capacity building, </w:t>
      </w:r>
      <w:r w:rsidRPr="3656E1A1">
        <w:rPr>
          <w:rFonts w:asciiTheme="majorHAnsi" w:hAnsiTheme="majorHAnsi"/>
          <w:sz w:val="24"/>
          <w:szCs w:val="24"/>
        </w:rPr>
        <w:t>and</w:t>
      </w:r>
      <w:r w:rsidR="002E697D">
        <w:rPr>
          <w:rFonts w:asciiTheme="majorHAnsi" w:hAnsiTheme="majorHAnsi"/>
          <w:sz w:val="24"/>
          <w:szCs w:val="24"/>
        </w:rPr>
        <w:t>/or</w:t>
      </w:r>
      <w:r w:rsidRPr="3656E1A1">
        <w:rPr>
          <w:rFonts w:asciiTheme="majorHAnsi" w:hAnsiTheme="majorHAnsi"/>
          <w:sz w:val="24"/>
          <w:szCs w:val="24"/>
        </w:rPr>
        <w:t xml:space="preserve"> </w:t>
      </w:r>
      <w:r w:rsidR="00812B9C" w:rsidRPr="3656E1A1">
        <w:rPr>
          <w:rFonts w:asciiTheme="majorHAnsi" w:hAnsiTheme="majorHAnsi"/>
          <w:b/>
          <w:bCs/>
          <w:sz w:val="24"/>
          <w:szCs w:val="24"/>
        </w:rPr>
        <w:t>assessing</w:t>
      </w:r>
      <w:r w:rsidRPr="3656E1A1">
        <w:rPr>
          <w:rFonts w:asciiTheme="majorHAnsi" w:hAnsiTheme="majorHAnsi"/>
          <w:b/>
          <w:bCs/>
          <w:sz w:val="24"/>
          <w:szCs w:val="24"/>
        </w:rPr>
        <w:t xml:space="preserve"> the </w:t>
      </w:r>
      <w:r w:rsidR="00610E23" w:rsidRPr="3656E1A1">
        <w:rPr>
          <w:rFonts w:asciiTheme="majorHAnsi" w:hAnsiTheme="majorHAnsi"/>
          <w:b/>
          <w:bCs/>
          <w:sz w:val="24"/>
          <w:szCs w:val="24"/>
        </w:rPr>
        <w:t>alignment</w:t>
      </w:r>
      <w:r w:rsidRPr="3656E1A1">
        <w:rPr>
          <w:rFonts w:asciiTheme="majorHAnsi" w:hAnsiTheme="majorHAnsi"/>
          <w:b/>
          <w:bCs/>
          <w:sz w:val="24"/>
          <w:szCs w:val="24"/>
        </w:rPr>
        <w:t xml:space="preserve"> of </w:t>
      </w:r>
      <w:r w:rsidR="00812B9C" w:rsidRPr="3656E1A1">
        <w:rPr>
          <w:rFonts w:asciiTheme="majorHAnsi" w:hAnsiTheme="majorHAnsi"/>
          <w:b/>
          <w:bCs/>
          <w:sz w:val="24"/>
          <w:szCs w:val="24"/>
        </w:rPr>
        <w:t xml:space="preserve">partner countries’ </w:t>
      </w:r>
      <w:r w:rsidRPr="3656E1A1">
        <w:rPr>
          <w:rFonts w:asciiTheme="majorHAnsi" w:hAnsiTheme="majorHAnsi"/>
          <w:b/>
          <w:bCs/>
          <w:sz w:val="24"/>
          <w:szCs w:val="24"/>
        </w:rPr>
        <w:t>legislation with EU legislation and standards</w:t>
      </w:r>
      <w:r w:rsidR="0068358D">
        <w:rPr>
          <w:rFonts w:asciiTheme="majorHAnsi" w:hAnsiTheme="majorHAnsi"/>
          <w:b/>
          <w:bCs/>
          <w:sz w:val="24"/>
          <w:szCs w:val="24"/>
        </w:rPr>
        <w:t>.</w:t>
      </w:r>
      <w:r w:rsidRPr="3656E1A1">
        <w:rPr>
          <w:rFonts w:asciiTheme="majorHAnsi" w:hAnsiTheme="majorHAnsi"/>
          <w:sz w:val="24"/>
          <w:szCs w:val="24"/>
        </w:rPr>
        <w:t xml:space="preserve"> The assistance will be delivered through </w:t>
      </w:r>
      <w:r w:rsidRPr="3656E1A1">
        <w:rPr>
          <w:rFonts w:asciiTheme="majorHAnsi" w:hAnsiTheme="majorHAnsi"/>
          <w:b/>
          <w:bCs/>
          <w:sz w:val="24"/>
          <w:szCs w:val="24"/>
        </w:rPr>
        <w:t>short-term activities</w:t>
      </w:r>
      <w:r w:rsidRPr="3656E1A1">
        <w:rPr>
          <w:rFonts w:asciiTheme="majorHAnsi" w:hAnsiTheme="majorHAnsi"/>
          <w:sz w:val="24"/>
          <w:szCs w:val="24"/>
        </w:rPr>
        <w:t xml:space="preserve">, </w:t>
      </w:r>
      <w:r w:rsidR="002E697D">
        <w:rPr>
          <w:rFonts w:asciiTheme="majorHAnsi" w:hAnsiTheme="majorHAnsi"/>
          <w:sz w:val="24"/>
          <w:szCs w:val="24"/>
        </w:rPr>
        <w:t xml:space="preserve">either in-person or </w:t>
      </w:r>
      <w:r w:rsidR="00C94587">
        <w:rPr>
          <w:rFonts w:asciiTheme="majorHAnsi" w:hAnsiTheme="majorHAnsi"/>
          <w:sz w:val="24"/>
          <w:szCs w:val="24"/>
        </w:rPr>
        <w:t xml:space="preserve">as </w:t>
      </w:r>
      <w:r w:rsidR="002E697D">
        <w:rPr>
          <w:rFonts w:asciiTheme="majorHAnsi" w:hAnsiTheme="majorHAnsi"/>
          <w:sz w:val="24"/>
          <w:szCs w:val="24"/>
        </w:rPr>
        <w:t>home-based assignment</w:t>
      </w:r>
      <w:r w:rsidR="00C94587">
        <w:rPr>
          <w:rFonts w:asciiTheme="majorHAnsi" w:hAnsiTheme="majorHAnsi"/>
          <w:sz w:val="24"/>
          <w:szCs w:val="24"/>
        </w:rPr>
        <w:t>s.</w:t>
      </w:r>
      <w:r w:rsidRPr="3656E1A1">
        <w:rPr>
          <w:rFonts w:asciiTheme="majorHAnsi" w:hAnsiTheme="majorHAnsi"/>
          <w:sz w:val="24"/>
          <w:szCs w:val="24"/>
        </w:rPr>
        <w:t xml:space="preserve"> </w:t>
      </w:r>
    </w:p>
    <w:p w14:paraId="57060B50" w14:textId="77777777" w:rsidR="002E4A9E" w:rsidRPr="00610E23" w:rsidRDefault="002E4A9E" w:rsidP="00E37511">
      <w:pPr>
        <w:jc w:val="both"/>
        <w:rPr>
          <w:rFonts w:asciiTheme="majorHAnsi" w:hAnsiTheme="majorHAnsi"/>
          <w:sz w:val="24"/>
          <w:szCs w:val="24"/>
        </w:rPr>
      </w:pPr>
    </w:p>
    <w:p w14:paraId="7FE10A61" w14:textId="284A6688" w:rsidR="00A41520" w:rsidRDefault="002E4A9E" w:rsidP="00E37511">
      <w:pPr>
        <w:jc w:val="both"/>
        <w:rPr>
          <w:rFonts w:asciiTheme="majorHAnsi" w:hAnsiTheme="majorHAnsi"/>
          <w:sz w:val="24"/>
          <w:szCs w:val="24"/>
        </w:rPr>
      </w:pPr>
      <w:r w:rsidRPr="48442DEB">
        <w:rPr>
          <w:rFonts w:asciiTheme="majorHAnsi" w:hAnsiTheme="majorHAnsi"/>
          <w:sz w:val="24"/>
          <w:szCs w:val="24"/>
        </w:rPr>
        <w:t xml:space="preserve">We are particularly looking for </w:t>
      </w:r>
      <w:r w:rsidRPr="48442DEB">
        <w:rPr>
          <w:rFonts w:asciiTheme="majorHAnsi" w:hAnsiTheme="majorHAnsi"/>
          <w:b/>
          <w:bCs/>
          <w:sz w:val="24"/>
          <w:szCs w:val="24"/>
        </w:rPr>
        <w:t>senior experts</w:t>
      </w:r>
      <w:r w:rsidRPr="48442DEB">
        <w:rPr>
          <w:rStyle w:val="FootnoteReference"/>
          <w:rFonts w:asciiTheme="majorHAnsi" w:hAnsiTheme="majorHAnsi"/>
          <w:sz w:val="24"/>
          <w:szCs w:val="24"/>
        </w:rPr>
        <w:footnoteReference w:id="1"/>
      </w:r>
      <w:r w:rsidRPr="48442DEB">
        <w:rPr>
          <w:rFonts w:asciiTheme="majorHAnsi" w:hAnsiTheme="majorHAnsi"/>
          <w:sz w:val="24"/>
          <w:szCs w:val="24"/>
        </w:rPr>
        <w:t xml:space="preserve"> with a very good </w:t>
      </w:r>
      <w:r w:rsidRPr="48442DEB">
        <w:rPr>
          <w:rFonts w:asciiTheme="majorHAnsi" w:hAnsiTheme="majorHAnsi"/>
          <w:b/>
          <w:bCs/>
          <w:sz w:val="24"/>
          <w:szCs w:val="24"/>
        </w:rPr>
        <w:t>legal</w:t>
      </w:r>
      <w:r w:rsidR="1AFBAD32" w:rsidRPr="48442DEB">
        <w:rPr>
          <w:rFonts w:asciiTheme="majorHAnsi" w:hAnsiTheme="majorHAnsi"/>
          <w:b/>
          <w:bCs/>
          <w:sz w:val="24"/>
          <w:szCs w:val="24"/>
        </w:rPr>
        <w:t>/regulatory</w:t>
      </w:r>
      <w:r w:rsidR="00C94587">
        <w:rPr>
          <w:rFonts w:asciiTheme="majorHAnsi" w:hAnsiTheme="majorHAnsi"/>
          <w:b/>
          <w:bCs/>
          <w:sz w:val="24"/>
          <w:szCs w:val="24"/>
        </w:rPr>
        <w:t>/ operational</w:t>
      </w:r>
      <w:r w:rsidRPr="3656E1A1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48442DEB">
        <w:rPr>
          <w:rFonts w:asciiTheme="majorHAnsi" w:hAnsiTheme="majorHAnsi"/>
          <w:b/>
          <w:bCs/>
          <w:sz w:val="24"/>
          <w:szCs w:val="24"/>
        </w:rPr>
        <w:t>knowledge of his/her area of expertise</w:t>
      </w:r>
      <w:r w:rsidRPr="48442DEB">
        <w:rPr>
          <w:rFonts w:asciiTheme="majorHAnsi" w:hAnsiTheme="majorHAnsi"/>
          <w:sz w:val="24"/>
          <w:szCs w:val="24"/>
        </w:rPr>
        <w:t xml:space="preserve"> and very good </w:t>
      </w:r>
      <w:r w:rsidRPr="48442DEB">
        <w:rPr>
          <w:rFonts w:asciiTheme="majorHAnsi" w:hAnsiTheme="majorHAnsi"/>
          <w:b/>
          <w:bCs/>
          <w:sz w:val="24"/>
          <w:szCs w:val="24"/>
        </w:rPr>
        <w:t>drafting</w:t>
      </w:r>
      <w:r w:rsidR="00C94587">
        <w:rPr>
          <w:rFonts w:asciiTheme="majorHAnsi" w:hAnsiTheme="majorHAnsi"/>
          <w:b/>
          <w:bCs/>
          <w:sz w:val="24"/>
          <w:szCs w:val="24"/>
        </w:rPr>
        <w:t xml:space="preserve"> and oral</w:t>
      </w:r>
      <w:r w:rsidRPr="48442DEB">
        <w:rPr>
          <w:rFonts w:asciiTheme="majorHAnsi" w:hAnsiTheme="majorHAnsi"/>
          <w:b/>
          <w:bCs/>
          <w:sz w:val="24"/>
          <w:szCs w:val="24"/>
        </w:rPr>
        <w:t xml:space="preserve"> skills in English</w:t>
      </w:r>
      <w:r w:rsidRPr="48442DEB">
        <w:rPr>
          <w:rFonts w:asciiTheme="majorHAnsi" w:hAnsiTheme="majorHAnsi"/>
          <w:sz w:val="24"/>
          <w:szCs w:val="24"/>
        </w:rPr>
        <w:t>, ideally with former experience of similar assignments (alignment checks, peer review</w:t>
      </w:r>
      <w:r w:rsidR="00610E23" w:rsidRPr="48442DEB">
        <w:rPr>
          <w:rFonts w:asciiTheme="majorHAnsi" w:hAnsiTheme="majorHAnsi"/>
          <w:sz w:val="24"/>
          <w:szCs w:val="24"/>
        </w:rPr>
        <w:t>s</w:t>
      </w:r>
      <w:r w:rsidRPr="48442DEB">
        <w:rPr>
          <w:rFonts w:asciiTheme="majorHAnsi" w:hAnsiTheme="majorHAnsi"/>
          <w:sz w:val="24"/>
          <w:szCs w:val="24"/>
        </w:rPr>
        <w:t xml:space="preserve"> </w:t>
      </w:r>
      <w:r w:rsidR="00610E23" w:rsidRPr="48442DEB">
        <w:rPr>
          <w:rFonts w:asciiTheme="majorHAnsi" w:hAnsiTheme="majorHAnsi"/>
          <w:sz w:val="24"/>
          <w:szCs w:val="24"/>
        </w:rPr>
        <w:t>or</w:t>
      </w:r>
      <w:r w:rsidRPr="48442DEB">
        <w:rPr>
          <w:rFonts w:asciiTheme="majorHAnsi" w:hAnsiTheme="majorHAnsi"/>
          <w:sz w:val="24"/>
          <w:szCs w:val="24"/>
        </w:rPr>
        <w:t xml:space="preserve"> technical advisory missions) and knowledge of the regions (the Western Balkans or Eastern Partnership region).</w:t>
      </w:r>
    </w:p>
    <w:p w14:paraId="09174B24" w14:textId="77777777" w:rsidR="002228C0" w:rsidRPr="00610E23" w:rsidRDefault="002228C0" w:rsidP="00E37511">
      <w:pPr>
        <w:jc w:val="both"/>
        <w:rPr>
          <w:rFonts w:asciiTheme="majorHAnsi" w:hAnsiTheme="majorHAnsi"/>
          <w:sz w:val="24"/>
          <w:szCs w:val="24"/>
        </w:rPr>
      </w:pPr>
    </w:p>
    <w:p w14:paraId="06F38651" w14:textId="77777777" w:rsidR="00263B26" w:rsidRDefault="00231D51" w:rsidP="00F767F8">
      <w:pPr>
        <w:rPr>
          <w:rFonts w:asciiTheme="majorHAnsi" w:hAnsiTheme="majorHAnsi"/>
          <w:sz w:val="24"/>
          <w:szCs w:val="24"/>
        </w:rPr>
      </w:pPr>
      <w:r w:rsidRPr="08B4541B">
        <w:rPr>
          <w:rFonts w:asciiTheme="majorHAnsi" w:hAnsiTheme="majorHAnsi"/>
          <w:sz w:val="24"/>
          <w:szCs w:val="24"/>
        </w:rPr>
        <w:t xml:space="preserve">The call </w:t>
      </w:r>
      <w:r>
        <w:rPr>
          <w:rFonts w:asciiTheme="majorHAnsi" w:hAnsiTheme="majorHAnsi"/>
          <w:sz w:val="24"/>
          <w:szCs w:val="24"/>
        </w:rPr>
        <w:t>is</w:t>
      </w:r>
      <w:r w:rsidRPr="08B4541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b/>
          <w:bCs/>
          <w:sz w:val="24"/>
          <w:szCs w:val="24"/>
        </w:rPr>
        <w:t>channelled</w:t>
      </w:r>
      <w:r w:rsidRPr="08B4541B">
        <w:rPr>
          <w:rFonts w:asciiTheme="majorHAnsi" w:hAnsiTheme="majorHAnsi"/>
          <w:b/>
          <w:bCs/>
          <w:sz w:val="24"/>
          <w:szCs w:val="24"/>
        </w:rPr>
        <w:t xml:space="preserve"> through the TAIEX National Contact Points (NCPs)</w:t>
      </w:r>
      <w:r w:rsidRPr="08B4541B">
        <w:rPr>
          <w:rFonts w:asciiTheme="majorHAnsi" w:hAnsiTheme="majorHAnsi"/>
          <w:sz w:val="24"/>
          <w:szCs w:val="24"/>
        </w:rPr>
        <w:t xml:space="preserve"> at national level</w:t>
      </w:r>
      <w:r>
        <w:rPr>
          <w:rFonts w:asciiTheme="majorHAnsi" w:hAnsiTheme="majorHAnsi"/>
          <w:sz w:val="24"/>
          <w:szCs w:val="24"/>
        </w:rPr>
        <w:t>, who</w:t>
      </w:r>
      <w:r w:rsidRPr="08B4541B"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are</w:t>
      </w:r>
      <w:r w:rsidRPr="08B4541B">
        <w:rPr>
          <w:rFonts w:asciiTheme="majorHAnsi" w:hAnsiTheme="majorHAnsi"/>
          <w:sz w:val="24"/>
          <w:szCs w:val="24"/>
        </w:rPr>
        <w:t xml:space="preserve"> in charge of</w:t>
      </w:r>
      <w:proofErr w:type="gramEnd"/>
      <w:r w:rsidRPr="08B4541B">
        <w:rPr>
          <w:rFonts w:asciiTheme="majorHAnsi" w:hAnsiTheme="majorHAnsi"/>
          <w:sz w:val="24"/>
          <w:szCs w:val="24"/>
        </w:rPr>
        <w:t xml:space="preserve"> disseminating the call </w:t>
      </w:r>
      <w:r>
        <w:rPr>
          <w:rFonts w:asciiTheme="majorHAnsi" w:hAnsiTheme="majorHAnsi"/>
          <w:sz w:val="24"/>
          <w:szCs w:val="24"/>
        </w:rPr>
        <w:t>across</w:t>
      </w:r>
      <w:r w:rsidRPr="08B4541B">
        <w:rPr>
          <w:rFonts w:asciiTheme="majorHAnsi" w:hAnsiTheme="majorHAnsi"/>
          <w:sz w:val="24"/>
          <w:szCs w:val="24"/>
        </w:rPr>
        <w:t xml:space="preserve"> relevant national administrations in their country</w:t>
      </w:r>
      <w:r>
        <w:rPr>
          <w:rFonts w:asciiTheme="majorHAnsi" w:hAnsiTheme="majorHAnsi"/>
          <w:sz w:val="24"/>
          <w:szCs w:val="24"/>
        </w:rPr>
        <w:t xml:space="preserve"> and collecting</w:t>
      </w:r>
      <w:r w:rsidR="00263B26">
        <w:rPr>
          <w:rFonts w:asciiTheme="majorHAnsi" w:hAnsiTheme="majorHAnsi"/>
          <w:sz w:val="24"/>
          <w:szCs w:val="24"/>
        </w:rPr>
        <w:t xml:space="preserve"> applications from experts.</w:t>
      </w:r>
      <w:r>
        <w:rPr>
          <w:rFonts w:asciiTheme="majorHAnsi" w:hAnsiTheme="majorHAnsi"/>
          <w:sz w:val="24"/>
          <w:szCs w:val="24"/>
        </w:rPr>
        <w:t xml:space="preserve"> </w:t>
      </w:r>
    </w:p>
    <w:p w14:paraId="0D4059CB" w14:textId="77777777" w:rsidR="00263B26" w:rsidRDefault="00263B26" w:rsidP="00F767F8">
      <w:pPr>
        <w:rPr>
          <w:rFonts w:asciiTheme="majorHAnsi" w:hAnsiTheme="majorHAnsi"/>
          <w:sz w:val="24"/>
          <w:szCs w:val="24"/>
        </w:rPr>
      </w:pPr>
    </w:p>
    <w:p w14:paraId="58A68551" w14:textId="638F586E" w:rsidR="001B268E" w:rsidRDefault="001B268E" w:rsidP="00F767F8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 express interest:</w:t>
      </w:r>
    </w:p>
    <w:p w14:paraId="5F1456AB" w14:textId="70E8F641" w:rsidR="001B268E" w:rsidRDefault="001B268E" w:rsidP="00E37511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3656E1A1">
        <w:rPr>
          <w:rFonts w:asciiTheme="majorHAnsi" w:hAnsiTheme="majorHAnsi"/>
          <w:sz w:val="24"/>
          <w:szCs w:val="24"/>
        </w:rPr>
        <w:t>Experts are required to provide their full name</w:t>
      </w:r>
      <w:r w:rsidR="003D7020">
        <w:rPr>
          <w:rFonts w:asciiTheme="majorHAnsi" w:hAnsiTheme="majorHAnsi"/>
          <w:sz w:val="24"/>
          <w:szCs w:val="24"/>
        </w:rPr>
        <w:t xml:space="preserve"> and</w:t>
      </w:r>
      <w:r w:rsidRPr="3656E1A1">
        <w:rPr>
          <w:rFonts w:asciiTheme="majorHAnsi" w:hAnsiTheme="majorHAnsi"/>
          <w:sz w:val="24"/>
          <w:szCs w:val="24"/>
        </w:rPr>
        <w:t xml:space="preserve"> contact details </w:t>
      </w:r>
      <w:r w:rsidR="003D7020">
        <w:rPr>
          <w:rFonts w:asciiTheme="majorHAnsi" w:hAnsiTheme="majorHAnsi"/>
          <w:sz w:val="24"/>
          <w:szCs w:val="24"/>
        </w:rPr>
        <w:t xml:space="preserve">to their NCP, </w:t>
      </w:r>
      <w:r w:rsidRPr="3656E1A1">
        <w:rPr>
          <w:rFonts w:asciiTheme="majorHAnsi" w:hAnsiTheme="majorHAnsi"/>
          <w:sz w:val="24"/>
          <w:szCs w:val="24"/>
        </w:rPr>
        <w:t>indicat</w:t>
      </w:r>
      <w:r w:rsidR="003D7020">
        <w:rPr>
          <w:rFonts w:asciiTheme="majorHAnsi" w:hAnsiTheme="majorHAnsi"/>
          <w:sz w:val="24"/>
          <w:szCs w:val="24"/>
        </w:rPr>
        <w:t>ing</w:t>
      </w:r>
      <w:r w:rsidRPr="3656E1A1">
        <w:rPr>
          <w:rFonts w:asciiTheme="majorHAnsi" w:hAnsiTheme="majorHAnsi"/>
          <w:sz w:val="24"/>
          <w:szCs w:val="24"/>
        </w:rPr>
        <w:t xml:space="preserve"> the main policy area</w:t>
      </w:r>
      <w:r w:rsidR="00333EFB" w:rsidRPr="3656E1A1">
        <w:rPr>
          <w:rFonts w:asciiTheme="majorHAnsi" w:hAnsiTheme="majorHAnsi"/>
          <w:sz w:val="24"/>
          <w:szCs w:val="24"/>
        </w:rPr>
        <w:t>(s)</w:t>
      </w:r>
      <w:r w:rsidRPr="3656E1A1">
        <w:rPr>
          <w:rFonts w:asciiTheme="majorHAnsi" w:hAnsiTheme="majorHAnsi"/>
          <w:sz w:val="24"/>
          <w:szCs w:val="24"/>
        </w:rPr>
        <w:t xml:space="preserve"> and specific </w:t>
      </w:r>
      <w:r w:rsidR="02A9989E" w:rsidRPr="3656E1A1">
        <w:rPr>
          <w:rFonts w:asciiTheme="majorHAnsi" w:hAnsiTheme="majorHAnsi"/>
          <w:sz w:val="24"/>
          <w:szCs w:val="24"/>
        </w:rPr>
        <w:t>EU legislation or standards in the</w:t>
      </w:r>
      <w:r w:rsidR="3FA2E631" w:rsidRPr="3656E1A1">
        <w:rPr>
          <w:rFonts w:asciiTheme="majorHAnsi" w:hAnsiTheme="majorHAnsi"/>
          <w:sz w:val="24"/>
          <w:szCs w:val="24"/>
        </w:rPr>
        <w:t>ir competent</w:t>
      </w:r>
      <w:r w:rsidR="02A9989E" w:rsidRPr="3656E1A1">
        <w:rPr>
          <w:rFonts w:asciiTheme="majorHAnsi" w:hAnsiTheme="majorHAnsi"/>
          <w:sz w:val="24"/>
          <w:szCs w:val="24"/>
        </w:rPr>
        <w:t xml:space="preserve"> areas </w:t>
      </w:r>
      <w:r w:rsidRPr="3656E1A1">
        <w:rPr>
          <w:rFonts w:asciiTheme="majorHAnsi" w:hAnsiTheme="majorHAnsi"/>
          <w:sz w:val="24"/>
          <w:szCs w:val="24"/>
        </w:rPr>
        <w:t>of expertise</w:t>
      </w:r>
      <w:r w:rsidR="00333EFB" w:rsidRPr="3656E1A1">
        <w:rPr>
          <w:rFonts w:asciiTheme="majorHAnsi" w:hAnsiTheme="majorHAnsi"/>
          <w:sz w:val="24"/>
          <w:szCs w:val="24"/>
        </w:rPr>
        <w:t xml:space="preserve">. </w:t>
      </w:r>
    </w:p>
    <w:p w14:paraId="2AB09C5D" w14:textId="0E2F8FF2" w:rsidR="001B268E" w:rsidRDefault="00333EFB" w:rsidP="00E37511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8B4541B">
        <w:rPr>
          <w:rFonts w:asciiTheme="majorHAnsi" w:hAnsiTheme="majorHAnsi"/>
          <w:sz w:val="24"/>
          <w:szCs w:val="24"/>
        </w:rPr>
        <w:t>Experts</w:t>
      </w:r>
      <w:r w:rsidR="001B268E" w:rsidRPr="08B4541B">
        <w:rPr>
          <w:rFonts w:asciiTheme="majorHAnsi" w:hAnsiTheme="majorHAnsi"/>
          <w:sz w:val="24"/>
          <w:szCs w:val="24"/>
        </w:rPr>
        <w:t xml:space="preserve"> are encouraged to </w:t>
      </w:r>
      <w:r w:rsidR="001B268E" w:rsidRPr="00575E0B">
        <w:rPr>
          <w:rFonts w:asciiTheme="majorHAnsi" w:hAnsiTheme="majorHAnsi"/>
          <w:b/>
          <w:bCs/>
          <w:sz w:val="24"/>
          <w:szCs w:val="24"/>
        </w:rPr>
        <w:t>register or update their profile</w:t>
      </w:r>
      <w:r w:rsidR="001B268E" w:rsidRPr="08B4541B">
        <w:rPr>
          <w:rFonts w:asciiTheme="majorHAnsi" w:hAnsiTheme="majorHAnsi"/>
          <w:sz w:val="24"/>
          <w:szCs w:val="24"/>
        </w:rPr>
        <w:t xml:space="preserve"> in the </w:t>
      </w:r>
      <w:hyperlink r:id="rId10" w:anchor="/expert-database/home">
        <w:r w:rsidR="001B268E" w:rsidRPr="08B4541B">
          <w:rPr>
            <w:rStyle w:val="Hyperlink"/>
            <w:rFonts w:asciiTheme="majorHAnsi" w:hAnsiTheme="majorHAnsi"/>
            <w:sz w:val="24"/>
            <w:szCs w:val="24"/>
          </w:rPr>
          <w:t>TAIEX expert database</w:t>
        </w:r>
      </w:hyperlink>
      <w:r w:rsidRPr="08B4541B">
        <w:rPr>
          <w:rFonts w:asciiTheme="majorHAnsi" w:hAnsiTheme="majorHAnsi"/>
          <w:sz w:val="24"/>
          <w:szCs w:val="24"/>
        </w:rPr>
        <w:t xml:space="preserve"> as early as possible,</w:t>
      </w:r>
      <w:r w:rsidR="001B268E" w:rsidRPr="08B4541B">
        <w:rPr>
          <w:rFonts w:asciiTheme="majorHAnsi" w:hAnsiTheme="majorHAnsi"/>
          <w:sz w:val="24"/>
          <w:szCs w:val="24"/>
        </w:rPr>
        <w:t xml:space="preserve"> including their CV. </w:t>
      </w:r>
    </w:p>
    <w:p w14:paraId="018A4662" w14:textId="0BB6609E" w:rsidR="08B4541B" w:rsidRDefault="08B4541B" w:rsidP="00E37511">
      <w:pPr>
        <w:jc w:val="both"/>
        <w:rPr>
          <w:rFonts w:asciiTheme="majorHAnsi" w:hAnsiTheme="majorHAnsi"/>
          <w:sz w:val="24"/>
          <w:szCs w:val="24"/>
        </w:rPr>
      </w:pPr>
    </w:p>
    <w:p w14:paraId="3DABCCDB" w14:textId="05903EFE" w:rsidR="0E19BCFF" w:rsidRDefault="0E19BCFF" w:rsidP="00E37511">
      <w:pPr>
        <w:jc w:val="both"/>
      </w:pPr>
      <w:r w:rsidRPr="08B4541B">
        <w:rPr>
          <w:rFonts w:asciiTheme="majorHAnsi" w:hAnsiTheme="majorHAnsi"/>
          <w:sz w:val="24"/>
          <w:szCs w:val="24"/>
        </w:rPr>
        <w:t>Following the expression of interest, TAIEX will liaise with relevant candidate</w:t>
      </w:r>
      <w:r w:rsidR="7B9D6765" w:rsidRPr="08B4541B">
        <w:rPr>
          <w:rFonts w:asciiTheme="majorHAnsi" w:hAnsiTheme="majorHAnsi"/>
          <w:sz w:val="24"/>
          <w:szCs w:val="24"/>
        </w:rPr>
        <w:t>s</w:t>
      </w:r>
      <w:r w:rsidRPr="08B4541B">
        <w:rPr>
          <w:rFonts w:asciiTheme="majorHAnsi" w:hAnsiTheme="majorHAnsi"/>
          <w:sz w:val="24"/>
          <w:szCs w:val="24"/>
        </w:rPr>
        <w:t xml:space="preserve"> and provide guidelines on the next steps, including the dedicated pools, assignment etc.</w:t>
      </w:r>
    </w:p>
    <w:p w14:paraId="05B08659" w14:textId="77777777" w:rsidR="001B268E" w:rsidRDefault="001B268E" w:rsidP="00E37511">
      <w:pPr>
        <w:jc w:val="both"/>
        <w:rPr>
          <w:rFonts w:asciiTheme="majorHAnsi" w:hAnsiTheme="majorHAnsi"/>
          <w:sz w:val="24"/>
          <w:szCs w:val="24"/>
        </w:rPr>
      </w:pPr>
    </w:p>
    <w:p w14:paraId="017231F9" w14:textId="00940A83" w:rsidR="002228C0" w:rsidRPr="001B268E" w:rsidRDefault="77E8730B" w:rsidP="00E37511">
      <w:pPr>
        <w:jc w:val="both"/>
        <w:rPr>
          <w:rFonts w:asciiTheme="majorHAnsi" w:hAnsiTheme="majorHAnsi"/>
          <w:i/>
          <w:iCs/>
          <w:sz w:val="24"/>
          <w:szCs w:val="24"/>
        </w:rPr>
      </w:pPr>
      <w:r w:rsidRPr="2CC74511">
        <w:rPr>
          <w:rFonts w:asciiTheme="majorHAnsi" w:hAnsiTheme="majorHAnsi"/>
          <w:i/>
          <w:iCs/>
          <w:sz w:val="24"/>
          <w:szCs w:val="24"/>
        </w:rPr>
        <w:lastRenderedPageBreak/>
        <w:t>Please note that</w:t>
      </w:r>
      <w:r w:rsidR="002228C0" w:rsidRPr="2CC74511">
        <w:rPr>
          <w:rFonts w:asciiTheme="majorHAnsi" w:hAnsiTheme="majorHAnsi"/>
          <w:i/>
          <w:iCs/>
          <w:sz w:val="24"/>
          <w:szCs w:val="24"/>
        </w:rPr>
        <w:t xml:space="preserve"> </w:t>
      </w:r>
      <w:r w:rsidR="7186B28D" w:rsidRPr="2CC74511">
        <w:rPr>
          <w:rFonts w:asciiTheme="majorHAnsi" w:hAnsiTheme="majorHAnsi"/>
          <w:i/>
          <w:iCs/>
          <w:sz w:val="24"/>
          <w:szCs w:val="24"/>
        </w:rPr>
        <w:t>m</w:t>
      </w:r>
      <w:r w:rsidR="002228C0" w:rsidRPr="2CC74511">
        <w:rPr>
          <w:rFonts w:asciiTheme="majorHAnsi" w:hAnsiTheme="majorHAnsi"/>
          <w:i/>
          <w:iCs/>
          <w:sz w:val="24"/>
          <w:szCs w:val="24"/>
        </w:rPr>
        <w:t>obilisation of the expert cannot be guaranteed. The call aims to expand the</w:t>
      </w:r>
      <w:r w:rsidR="00976D0D" w:rsidRPr="2CC74511">
        <w:rPr>
          <w:rFonts w:asciiTheme="majorHAnsi" w:hAnsiTheme="majorHAnsi"/>
          <w:i/>
          <w:iCs/>
          <w:sz w:val="24"/>
          <w:szCs w:val="24"/>
        </w:rPr>
        <w:t xml:space="preserve"> existing</w:t>
      </w:r>
      <w:r w:rsidR="002228C0" w:rsidRPr="2CC74511">
        <w:rPr>
          <w:rFonts w:asciiTheme="majorHAnsi" w:hAnsiTheme="majorHAnsi"/>
          <w:i/>
          <w:iCs/>
          <w:sz w:val="24"/>
          <w:szCs w:val="24"/>
        </w:rPr>
        <w:t xml:space="preserve"> expert database by creating expert pools for potential rapid deployments </w:t>
      </w:r>
      <w:proofErr w:type="gramStart"/>
      <w:r w:rsidR="002228C0" w:rsidRPr="2CC74511">
        <w:rPr>
          <w:rFonts w:asciiTheme="majorHAnsi" w:hAnsiTheme="majorHAnsi"/>
          <w:i/>
          <w:iCs/>
          <w:sz w:val="24"/>
          <w:szCs w:val="24"/>
        </w:rPr>
        <w:t>in order to</w:t>
      </w:r>
      <w:proofErr w:type="gramEnd"/>
      <w:r w:rsidR="002228C0" w:rsidRPr="2CC74511">
        <w:rPr>
          <w:rFonts w:asciiTheme="majorHAnsi" w:hAnsiTheme="majorHAnsi"/>
          <w:i/>
          <w:iCs/>
          <w:sz w:val="24"/>
          <w:szCs w:val="24"/>
        </w:rPr>
        <w:t xml:space="preserve"> match available experts with the needs stemming from the accession negotiations. At the same time, </w:t>
      </w:r>
      <w:r w:rsidR="00D17BDC" w:rsidRPr="2CC74511">
        <w:rPr>
          <w:rFonts w:asciiTheme="majorHAnsi" w:hAnsiTheme="majorHAnsi"/>
          <w:i/>
          <w:iCs/>
          <w:sz w:val="24"/>
          <w:szCs w:val="24"/>
        </w:rPr>
        <w:t xml:space="preserve">if included in the pool, </w:t>
      </w:r>
      <w:r w:rsidR="002228C0" w:rsidRPr="2CC74511">
        <w:rPr>
          <w:rFonts w:asciiTheme="majorHAnsi" w:hAnsiTheme="majorHAnsi"/>
          <w:i/>
          <w:iCs/>
          <w:sz w:val="24"/>
          <w:szCs w:val="24"/>
        </w:rPr>
        <w:t xml:space="preserve">experts </w:t>
      </w:r>
      <w:r w:rsidR="00D17BDC" w:rsidRPr="2CC74511">
        <w:rPr>
          <w:rFonts w:asciiTheme="majorHAnsi" w:hAnsiTheme="majorHAnsi"/>
          <w:i/>
          <w:iCs/>
          <w:sz w:val="24"/>
          <w:szCs w:val="24"/>
        </w:rPr>
        <w:t>will have</w:t>
      </w:r>
      <w:r w:rsidR="002228C0" w:rsidRPr="2CC74511">
        <w:rPr>
          <w:rFonts w:asciiTheme="majorHAnsi" w:hAnsiTheme="majorHAnsi"/>
          <w:i/>
          <w:iCs/>
          <w:sz w:val="24"/>
          <w:szCs w:val="24"/>
        </w:rPr>
        <w:t xml:space="preserve"> the possibility to indicate their availabilities and accept</w:t>
      </w:r>
      <w:r w:rsidR="00D17BDC" w:rsidRPr="2CC74511">
        <w:rPr>
          <w:rFonts w:asciiTheme="majorHAnsi" w:hAnsiTheme="majorHAnsi"/>
          <w:i/>
          <w:iCs/>
          <w:sz w:val="24"/>
          <w:szCs w:val="24"/>
        </w:rPr>
        <w:t xml:space="preserve"> or refuse</w:t>
      </w:r>
      <w:r w:rsidR="002228C0" w:rsidRPr="2CC74511">
        <w:rPr>
          <w:rFonts w:asciiTheme="majorHAnsi" w:hAnsiTheme="majorHAnsi"/>
          <w:i/>
          <w:iCs/>
          <w:sz w:val="24"/>
          <w:szCs w:val="24"/>
        </w:rPr>
        <w:t xml:space="preserve"> the requests based on their availabilities without </w:t>
      </w:r>
      <w:r w:rsidR="00D17BDC" w:rsidRPr="2CC74511">
        <w:rPr>
          <w:rFonts w:asciiTheme="majorHAnsi" w:hAnsiTheme="majorHAnsi"/>
          <w:i/>
          <w:iCs/>
          <w:sz w:val="24"/>
          <w:szCs w:val="24"/>
        </w:rPr>
        <w:t>impact on</w:t>
      </w:r>
      <w:r w:rsidR="002228C0" w:rsidRPr="2CC74511">
        <w:rPr>
          <w:rFonts w:asciiTheme="majorHAnsi" w:hAnsiTheme="majorHAnsi"/>
          <w:i/>
          <w:iCs/>
          <w:sz w:val="24"/>
          <w:szCs w:val="24"/>
        </w:rPr>
        <w:t xml:space="preserve"> their status in the pool. </w:t>
      </w:r>
    </w:p>
    <w:p w14:paraId="37D899AF" w14:textId="77777777" w:rsidR="000C753C" w:rsidRDefault="000C753C" w:rsidP="00E37511">
      <w:pPr>
        <w:jc w:val="both"/>
        <w:rPr>
          <w:rFonts w:asciiTheme="majorHAnsi" w:hAnsiTheme="majorHAnsi"/>
          <w:sz w:val="24"/>
          <w:szCs w:val="24"/>
        </w:rPr>
      </w:pPr>
    </w:p>
    <w:p w14:paraId="51366CA4" w14:textId="77777777" w:rsidR="00C35E71" w:rsidRDefault="00C35E71" w:rsidP="00E37511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Expanding the existing TAIEX expert database reinforced by the creation of pools of experts in specific thematic areas would help address</w:t>
      </w:r>
      <w:r w:rsidRPr="00610E23">
        <w:rPr>
          <w:rFonts w:asciiTheme="majorHAnsi" w:hAnsiTheme="majorHAnsi"/>
          <w:sz w:val="24"/>
          <w:szCs w:val="24"/>
        </w:rPr>
        <w:t xml:space="preserve"> growing </w:t>
      </w:r>
      <w:r>
        <w:rPr>
          <w:rFonts w:asciiTheme="majorHAnsi" w:hAnsiTheme="majorHAnsi"/>
          <w:sz w:val="24"/>
          <w:szCs w:val="24"/>
        </w:rPr>
        <w:t>demands and, in this way,</w:t>
      </w:r>
      <w:r w:rsidRPr="00610E23">
        <w:rPr>
          <w:rFonts w:asciiTheme="majorHAnsi" w:hAnsiTheme="majorHAnsi"/>
          <w:sz w:val="24"/>
          <w:szCs w:val="24"/>
        </w:rPr>
        <w:t xml:space="preserve"> accelerate and increase </w:t>
      </w:r>
      <w:r>
        <w:rPr>
          <w:rFonts w:asciiTheme="majorHAnsi" w:hAnsiTheme="majorHAnsi"/>
          <w:sz w:val="24"/>
          <w:szCs w:val="24"/>
        </w:rPr>
        <w:t>the EU’s</w:t>
      </w:r>
      <w:r w:rsidRPr="00610E23">
        <w:rPr>
          <w:rFonts w:asciiTheme="majorHAnsi" w:hAnsiTheme="majorHAnsi"/>
          <w:sz w:val="24"/>
          <w:szCs w:val="24"/>
        </w:rPr>
        <w:t xml:space="preserve"> support, particularly but not </w:t>
      </w:r>
      <w:r>
        <w:rPr>
          <w:rFonts w:asciiTheme="majorHAnsi" w:hAnsiTheme="majorHAnsi"/>
          <w:sz w:val="24"/>
          <w:szCs w:val="24"/>
        </w:rPr>
        <w:t>ex</w:t>
      </w:r>
      <w:r w:rsidRPr="00610E23">
        <w:rPr>
          <w:rFonts w:asciiTheme="majorHAnsi" w:hAnsiTheme="majorHAnsi"/>
          <w:sz w:val="24"/>
          <w:szCs w:val="24"/>
        </w:rPr>
        <w:t xml:space="preserve">clusively, </w:t>
      </w:r>
      <w:r w:rsidRPr="00067BD2">
        <w:rPr>
          <w:rFonts w:asciiTheme="majorHAnsi" w:hAnsiTheme="majorHAnsi"/>
          <w:sz w:val="24"/>
          <w:szCs w:val="24"/>
        </w:rPr>
        <w:t>in the context of preparations for EU accession</w:t>
      </w:r>
      <w:r w:rsidRPr="00610E23">
        <w:rPr>
          <w:rFonts w:asciiTheme="majorHAnsi" w:hAnsiTheme="majorHAnsi"/>
          <w:sz w:val="24"/>
          <w:szCs w:val="24"/>
        </w:rPr>
        <w:t xml:space="preserve">. </w:t>
      </w:r>
    </w:p>
    <w:p w14:paraId="64C79ADD" w14:textId="77777777" w:rsidR="002F075B" w:rsidRPr="002E4A9E" w:rsidRDefault="002F075B">
      <w:pPr>
        <w:rPr>
          <w:rFonts w:asciiTheme="majorHAnsi" w:hAnsiTheme="majorHAnsi"/>
          <w:sz w:val="28"/>
          <w:szCs w:val="28"/>
        </w:rPr>
      </w:pPr>
    </w:p>
    <w:p w14:paraId="1A3BCF0C" w14:textId="77777777" w:rsidR="002F075B" w:rsidRPr="002E4A9E" w:rsidRDefault="002F075B">
      <w:pPr>
        <w:rPr>
          <w:rFonts w:asciiTheme="majorHAnsi" w:hAnsiTheme="majorHAnsi"/>
          <w:sz w:val="28"/>
          <w:szCs w:val="28"/>
        </w:rPr>
      </w:pPr>
    </w:p>
    <w:p w14:paraId="4B77A65B" w14:textId="77777777" w:rsidR="002F075B" w:rsidRPr="002E4A9E" w:rsidRDefault="002F075B">
      <w:pPr>
        <w:rPr>
          <w:rFonts w:asciiTheme="majorHAnsi" w:hAnsiTheme="majorHAnsi"/>
          <w:sz w:val="28"/>
          <w:szCs w:val="28"/>
        </w:rPr>
      </w:pPr>
    </w:p>
    <w:sectPr w:rsidR="002F075B" w:rsidRPr="002E4A9E" w:rsidSect="002F075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E819E" w14:textId="77777777" w:rsidR="001D6A22" w:rsidRDefault="001D6A22">
      <w:pPr>
        <w:spacing w:line="240" w:lineRule="auto"/>
      </w:pPr>
      <w:r>
        <w:separator/>
      </w:r>
    </w:p>
  </w:endnote>
  <w:endnote w:type="continuationSeparator" w:id="0">
    <w:p w14:paraId="55A5CC5C" w14:textId="77777777" w:rsidR="001D6A22" w:rsidRDefault="001D6A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791FA" w14:textId="77777777" w:rsidR="001D6A22" w:rsidRDefault="001D6A22">
      <w:pPr>
        <w:spacing w:line="240" w:lineRule="auto"/>
      </w:pPr>
      <w:r>
        <w:separator/>
      </w:r>
    </w:p>
  </w:footnote>
  <w:footnote w:type="continuationSeparator" w:id="0">
    <w:p w14:paraId="6861F213" w14:textId="77777777" w:rsidR="001D6A22" w:rsidRDefault="001D6A22">
      <w:pPr>
        <w:spacing w:line="240" w:lineRule="auto"/>
      </w:pPr>
      <w:r>
        <w:continuationSeparator/>
      </w:r>
    </w:p>
  </w:footnote>
  <w:footnote w:id="1">
    <w:p w14:paraId="61DCE8D6" w14:textId="422BAF25" w:rsidR="48442DEB" w:rsidRPr="00E37511" w:rsidRDefault="48442DEB" w:rsidP="00E37511">
      <w:pPr>
        <w:pStyle w:val="FootnoteText"/>
        <w:rPr>
          <w:rFonts w:asciiTheme="majorHAnsi" w:hAnsiTheme="majorHAnsi"/>
        </w:rPr>
      </w:pPr>
      <w:r w:rsidRPr="00E37511">
        <w:rPr>
          <w:rStyle w:val="FootnoteReference"/>
          <w:rFonts w:asciiTheme="majorHAnsi" w:hAnsiTheme="majorHAnsi"/>
        </w:rPr>
        <w:footnoteRef/>
      </w:r>
      <w:r w:rsidR="3656E1A1" w:rsidRPr="00E37511">
        <w:rPr>
          <w:rFonts w:asciiTheme="majorHAnsi" w:hAnsiTheme="majorHAnsi"/>
        </w:rPr>
        <w:t xml:space="preserve"> In the context of TAIEX, eligible experts include public officials working with an active role in a public or semi-public administration or institution in an EU Member State. Academics from public universities or retired public experts can be mobilised on an exceptional basis.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4F04"/>
    <w:multiLevelType w:val="hybridMultilevel"/>
    <w:tmpl w:val="0BB6A5AA"/>
    <w:lvl w:ilvl="0" w:tplc="8248ADD4">
      <w:numFmt w:val="bullet"/>
      <w:lvlText w:val="-"/>
      <w:lvlJc w:val="left"/>
      <w:pPr>
        <w:ind w:left="410" w:hanging="360"/>
      </w:pPr>
      <w:rPr>
        <w:rFonts w:ascii="Aptos Display" w:eastAsiaTheme="minorHAnsi" w:hAnsi="Aptos Display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396D4D60"/>
    <w:multiLevelType w:val="hybridMultilevel"/>
    <w:tmpl w:val="29786ED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04BE8"/>
    <w:multiLevelType w:val="hybridMultilevel"/>
    <w:tmpl w:val="76DEB6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B263F"/>
    <w:multiLevelType w:val="hybridMultilevel"/>
    <w:tmpl w:val="CD1C52C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087339">
    <w:abstractNumId w:val="2"/>
  </w:num>
  <w:num w:numId="2" w16cid:durableId="16082636">
    <w:abstractNumId w:val="3"/>
  </w:num>
  <w:num w:numId="3" w16cid:durableId="210309168">
    <w:abstractNumId w:val="1"/>
  </w:num>
  <w:num w:numId="4" w16cid:durableId="385876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5B"/>
    <w:rsid w:val="0005558B"/>
    <w:rsid w:val="00066C0B"/>
    <w:rsid w:val="00067BD2"/>
    <w:rsid w:val="00075640"/>
    <w:rsid w:val="000A098E"/>
    <w:rsid w:val="000C57FA"/>
    <w:rsid w:val="000C753C"/>
    <w:rsid w:val="001002F9"/>
    <w:rsid w:val="00120928"/>
    <w:rsid w:val="0012545B"/>
    <w:rsid w:val="001407E5"/>
    <w:rsid w:val="00141955"/>
    <w:rsid w:val="00156E53"/>
    <w:rsid w:val="00167E56"/>
    <w:rsid w:val="00171D74"/>
    <w:rsid w:val="001B268E"/>
    <w:rsid w:val="001B6F45"/>
    <w:rsid w:val="001C40C1"/>
    <w:rsid w:val="001D308D"/>
    <w:rsid w:val="001D6A22"/>
    <w:rsid w:val="002228C0"/>
    <w:rsid w:val="00231D51"/>
    <w:rsid w:val="00241283"/>
    <w:rsid w:val="00263B26"/>
    <w:rsid w:val="00270945"/>
    <w:rsid w:val="002C1514"/>
    <w:rsid w:val="002D20CB"/>
    <w:rsid w:val="002D2AA2"/>
    <w:rsid w:val="002D5FF9"/>
    <w:rsid w:val="002E4A9E"/>
    <w:rsid w:val="002E697D"/>
    <w:rsid w:val="002F075B"/>
    <w:rsid w:val="002F4D1C"/>
    <w:rsid w:val="003012C5"/>
    <w:rsid w:val="00333EFB"/>
    <w:rsid w:val="00336DB2"/>
    <w:rsid w:val="00382330"/>
    <w:rsid w:val="00397052"/>
    <w:rsid w:val="003A3E79"/>
    <w:rsid w:val="003B2D33"/>
    <w:rsid w:val="003B5B78"/>
    <w:rsid w:val="003D7020"/>
    <w:rsid w:val="00403D74"/>
    <w:rsid w:val="00413D16"/>
    <w:rsid w:val="004312C8"/>
    <w:rsid w:val="0045160A"/>
    <w:rsid w:val="00462559"/>
    <w:rsid w:val="004866BB"/>
    <w:rsid w:val="004B5B34"/>
    <w:rsid w:val="004C061F"/>
    <w:rsid w:val="004D42D4"/>
    <w:rsid w:val="004F3403"/>
    <w:rsid w:val="00575E0B"/>
    <w:rsid w:val="005A0F04"/>
    <w:rsid w:val="00610E23"/>
    <w:rsid w:val="00613B51"/>
    <w:rsid w:val="00625953"/>
    <w:rsid w:val="00634857"/>
    <w:rsid w:val="00641EDD"/>
    <w:rsid w:val="00644A25"/>
    <w:rsid w:val="00664886"/>
    <w:rsid w:val="0068358D"/>
    <w:rsid w:val="006A245B"/>
    <w:rsid w:val="006B17F2"/>
    <w:rsid w:val="006D623C"/>
    <w:rsid w:val="006E1B36"/>
    <w:rsid w:val="006F42A8"/>
    <w:rsid w:val="00741E64"/>
    <w:rsid w:val="00812B9C"/>
    <w:rsid w:val="008144FF"/>
    <w:rsid w:val="0081731E"/>
    <w:rsid w:val="00825D29"/>
    <w:rsid w:val="00827DD1"/>
    <w:rsid w:val="00866F5C"/>
    <w:rsid w:val="0086DB16"/>
    <w:rsid w:val="00886C6B"/>
    <w:rsid w:val="008A66B1"/>
    <w:rsid w:val="008F5FE5"/>
    <w:rsid w:val="00906B87"/>
    <w:rsid w:val="00920018"/>
    <w:rsid w:val="009235EF"/>
    <w:rsid w:val="00971CC0"/>
    <w:rsid w:val="00976D0D"/>
    <w:rsid w:val="009873BD"/>
    <w:rsid w:val="009924A0"/>
    <w:rsid w:val="00992C51"/>
    <w:rsid w:val="009936A7"/>
    <w:rsid w:val="009B0925"/>
    <w:rsid w:val="009D48CA"/>
    <w:rsid w:val="009F07BB"/>
    <w:rsid w:val="00A02A9D"/>
    <w:rsid w:val="00A060E1"/>
    <w:rsid w:val="00A17CAD"/>
    <w:rsid w:val="00A20EB1"/>
    <w:rsid w:val="00A41520"/>
    <w:rsid w:val="00A511D0"/>
    <w:rsid w:val="00A92142"/>
    <w:rsid w:val="00A97BDC"/>
    <w:rsid w:val="00AB02B2"/>
    <w:rsid w:val="00AF4483"/>
    <w:rsid w:val="00B245D2"/>
    <w:rsid w:val="00B501A4"/>
    <w:rsid w:val="00B5701E"/>
    <w:rsid w:val="00B662B6"/>
    <w:rsid w:val="00C07B2F"/>
    <w:rsid w:val="00C1030F"/>
    <w:rsid w:val="00C222A7"/>
    <w:rsid w:val="00C35E71"/>
    <w:rsid w:val="00C70ED5"/>
    <w:rsid w:val="00C72533"/>
    <w:rsid w:val="00C94587"/>
    <w:rsid w:val="00CA28FF"/>
    <w:rsid w:val="00CA6371"/>
    <w:rsid w:val="00CA7EDB"/>
    <w:rsid w:val="00CB75A5"/>
    <w:rsid w:val="00CC0C05"/>
    <w:rsid w:val="00CF0CCE"/>
    <w:rsid w:val="00CF15E3"/>
    <w:rsid w:val="00CF2EE2"/>
    <w:rsid w:val="00CF3F21"/>
    <w:rsid w:val="00D13F81"/>
    <w:rsid w:val="00D17BDC"/>
    <w:rsid w:val="00D2686D"/>
    <w:rsid w:val="00D4254A"/>
    <w:rsid w:val="00D945B5"/>
    <w:rsid w:val="00DA3572"/>
    <w:rsid w:val="00DB1AE7"/>
    <w:rsid w:val="00DD27DE"/>
    <w:rsid w:val="00E37511"/>
    <w:rsid w:val="00E60C21"/>
    <w:rsid w:val="00E87DBE"/>
    <w:rsid w:val="00ED11F7"/>
    <w:rsid w:val="00EE4699"/>
    <w:rsid w:val="00EF295C"/>
    <w:rsid w:val="00F32D0C"/>
    <w:rsid w:val="00F35264"/>
    <w:rsid w:val="00F439D8"/>
    <w:rsid w:val="00F767F8"/>
    <w:rsid w:val="00FB0FE3"/>
    <w:rsid w:val="00FC1B19"/>
    <w:rsid w:val="00FC4BAC"/>
    <w:rsid w:val="00FC7861"/>
    <w:rsid w:val="017D9952"/>
    <w:rsid w:val="01887BB2"/>
    <w:rsid w:val="0285BDA3"/>
    <w:rsid w:val="02A9989E"/>
    <w:rsid w:val="02F7B272"/>
    <w:rsid w:val="030D6AB5"/>
    <w:rsid w:val="036FB0AE"/>
    <w:rsid w:val="03C80BEA"/>
    <w:rsid w:val="043DCA9E"/>
    <w:rsid w:val="06039E8E"/>
    <w:rsid w:val="06130D1E"/>
    <w:rsid w:val="07C6066D"/>
    <w:rsid w:val="08B4541B"/>
    <w:rsid w:val="0991061E"/>
    <w:rsid w:val="09BC7089"/>
    <w:rsid w:val="09EE9227"/>
    <w:rsid w:val="0C86E16C"/>
    <w:rsid w:val="0CDDECE4"/>
    <w:rsid w:val="0DC9328B"/>
    <w:rsid w:val="0DD05131"/>
    <w:rsid w:val="0E18A863"/>
    <w:rsid w:val="0E19BCFF"/>
    <w:rsid w:val="0EF28AF1"/>
    <w:rsid w:val="109CE172"/>
    <w:rsid w:val="10B24144"/>
    <w:rsid w:val="1162C02B"/>
    <w:rsid w:val="12222BCE"/>
    <w:rsid w:val="143C5609"/>
    <w:rsid w:val="14614DE9"/>
    <w:rsid w:val="148AA01B"/>
    <w:rsid w:val="1543BFC5"/>
    <w:rsid w:val="15C86E36"/>
    <w:rsid w:val="163FBFC1"/>
    <w:rsid w:val="16BC310C"/>
    <w:rsid w:val="16D0686A"/>
    <w:rsid w:val="19897C0F"/>
    <w:rsid w:val="19965125"/>
    <w:rsid w:val="19DA02E2"/>
    <w:rsid w:val="1AA90EA5"/>
    <w:rsid w:val="1AFBAD32"/>
    <w:rsid w:val="1AFD305F"/>
    <w:rsid w:val="1D3A149C"/>
    <w:rsid w:val="20F95573"/>
    <w:rsid w:val="21063B30"/>
    <w:rsid w:val="22A32EA8"/>
    <w:rsid w:val="2546676E"/>
    <w:rsid w:val="26603ECE"/>
    <w:rsid w:val="2883910E"/>
    <w:rsid w:val="293034D2"/>
    <w:rsid w:val="29FDE1E6"/>
    <w:rsid w:val="2CC74511"/>
    <w:rsid w:val="2CE255FA"/>
    <w:rsid w:val="2CFE614C"/>
    <w:rsid w:val="2DFCD6B4"/>
    <w:rsid w:val="2FC456C8"/>
    <w:rsid w:val="307DB9A5"/>
    <w:rsid w:val="3656E1A1"/>
    <w:rsid w:val="37C98D90"/>
    <w:rsid w:val="395971AD"/>
    <w:rsid w:val="3AE78D57"/>
    <w:rsid w:val="3C357461"/>
    <w:rsid w:val="3D166280"/>
    <w:rsid w:val="3D4823CF"/>
    <w:rsid w:val="3FA2E631"/>
    <w:rsid w:val="41B459E0"/>
    <w:rsid w:val="431B7C1C"/>
    <w:rsid w:val="4427A474"/>
    <w:rsid w:val="45A0A477"/>
    <w:rsid w:val="45C1DD1F"/>
    <w:rsid w:val="46C0B4BE"/>
    <w:rsid w:val="46D26F54"/>
    <w:rsid w:val="46FB26CC"/>
    <w:rsid w:val="48442DEB"/>
    <w:rsid w:val="495A9799"/>
    <w:rsid w:val="4A10E3CF"/>
    <w:rsid w:val="4A123378"/>
    <w:rsid w:val="4AE65EA5"/>
    <w:rsid w:val="4BC59265"/>
    <w:rsid w:val="4D028D72"/>
    <w:rsid w:val="4D140E77"/>
    <w:rsid w:val="4F62425E"/>
    <w:rsid w:val="4F9C2DC8"/>
    <w:rsid w:val="4FFC3203"/>
    <w:rsid w:val="51442DD7"/>
    <w:rsid w:val="53A6A120"/>
    <w:rsid w:val="53CAD8D1"/>
    <w:rsid w:val="53FD6840"/>
    <w:rsid w:val="540B7CDB"/>
    <w:rsid w:val="5529AF45"/>
    <w:rsid w:val="56FC03C5"/>
    <w:rsid w:val="579388B3"/>
    <w:rsid w:val="5836B47F"/>
    <w:rsid w:val="583707D6"/>
    <w:rsid w:val="59F4F866"/>
    <w:rsid w:val="5A5E24AE"/>
    <w:rsid w:val="5ACC9B60"/>
    <w:rsid w:val="5B428825"/>
    <w:rsid w:val="5BC6E000"/>
    <w:rsid w:val="5C1C061F"/>
    <w:rsid w:val="5C429979"/>
    <w:rsid w:val="5C834772"/>
    <w:rsid w:val="5DA17CD8"/>
    <w:rsid w:val="5E6BD44C"/>
    <w:rsid w:val="5F3AB164"/>
    <w:rsid w:val="5FDFDC94"/>
    <w:rsid w:val="5FF7D8AE"/>
    <w:rsid w:val="6021C8F3"/>
    <w:rsid w:val="60409083"/>
    <w:rsid w:val="61700096"/>
    <w:rsid w:val="632289CE"/>
    <w:rsid w:val="63AA2389"/>
    <w:rsid w:val="64653DA6"/>
    <w:rsid w:val="647D4498"/>
    <w:rsid w:val="64961EB7"/>
    <w:rsid w:val="68C6ECCD"/>
    <w:rsid w:val="697F00C5"/>
    <w:rsid w:val="69878059"/>
    <w:rsid w:val="69B6CF60"/>
    <w:rsid w:val="6A0B97AB"/>
    <w:rsid w:val="6BA24434"/>
    <w:rsid w:val="6E717F93"/>
    <w:rsid w:val="6EB49A86"/>
    <w:rsid w:val="7186B28D"/>
    <w:rsid w:val="71CFB539"/>
    <w:rsid w:val="74942C20"/>
    <w:rsid w:val="74D0BA42"/>
    <w:rsid w:val="760E3077"/>
    <w:rsid w:val="7633B77F"/>
    <w:rsid w:val="77056AD3"/>
    <w:rsid w:val="77209A34"/>
    <w:rsid w:val="77E8730B"/>
    <w:rsid w:val="78CECB33"/>
    <w:rsid w:val="7A4B3318"/>
    <w:rsid w:val="7B9D6765"/>
    <w:rsid w:val="7BB4EBFB"/>
    <w:rsid w:val="7BD46BDD"/>
    <w:rsid w:val="7DC7C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C566E"/>
  <w15:chartTrackingRefBased/>
  <w15:docId w15:val="{A24F21FB-2223-4460-8D80-CE37A4DB4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07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7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7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07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07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075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075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075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075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075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I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75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I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75B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I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075B"/>
    <w:rPr>
      <w:rFonts w:asciiTheme="minorHAnsi" w:eastAsiaTheme="majorEastAsia" w:hAnsiTheme="minorHAnsi" w:cstheme="majorBidi"/>
      <w:i/>
      <w:iCs/>
      <w:color w:val="0F4761" w:themeColor="accent1" w:themeShade="BF"/>
      <w:lang w:val="en-I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075B"/>
    <w:rPr>
      <w:rFonts w:asciiTheme="minorHAnsi" w:eastAsiaTheme="majorEastAsia" w:hAnsiTheme="minorHAnsi" w:cstheme="majorBidi"/>
      <w:color w:val="0F4761" w:themeColor="accent1" w:themeShade="BF"/>
      <w:lang w:val="en-I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075B"/>
    <w:rPr>
      <w:rFonts w:asciiTheme="minorHAnsi" w:eastAsiaTheme="majorEastAsia" w:hAnsiTheme="minorHAnsi" w:cstheme="majorBidi"/>
      <w:i/>
      <w:iCs/>
      <w:color w:val="595959" w:themeColor="text1" w:themeTint="A6"/>
      <w:lang w:val="en-I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075B"/>
    <w:rPr>
      <w:rFonts w:asciiTheme="minorHAnsi" w:eastAsiaTheme="majorEastAsia" w:hAnsiTheme="minorHAnsi" w:cstheme="majorBidi"/>
      <w:color w:val="595959" w:themeColor="text1" w:themeTint="A6"/>
      <w:lang w:val="en-I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075B"/>
    <w:rPr>
      <w:rFonts w:asciiTheme="minorHAnsi" w:eastAsiaTheme="majorEastAsia" w:hAnsiTheme="minorHAnsi" w:cstheme="majorBidi"/>
      <w:i/>
      <w:iCs/>
      <w:color w:val="272727" w:themeColor="text1" w:themeTint="D8"/>
      <w:lang w:val="en-I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075B"/>
    <w:rPr>
      <w:rFonts w:asciiTheme="minorHAnsi" w:eastAsiaTheme="majorEastAsia" w:hAnsiTheme="minorHAnsi" w:cstheme="majorBidi"/>
      <w:color w:val="272727" w:themeColor="text1" w:themeTint="D8"/>
      <w:lang w:val="en-IE"/>
    </w:rPr>
  </w:style>
  <w:style w:type="paragraph" w:styleId="Title">
    <w:name w:val="Title"/>
    <w:basedOn w:val="Normal"/>
    <w:next w:val="Normal"/>
    <w:link w:val="TitleChar"/>
    <w:uiPriority w:val="10"/>
    <w:qFormat/>
    <w:rsid w:val="002F07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075B"/>
    <w:rPr>
      <w:rFonts w:asciiTheme="majorHAnsi" w:eastAsiaTheme="majorEastAsia" w:hAnsiTheme="majorHAnsi" w:cstheme="majorBidi"/>
      <w:spacing w:val="-10"/>
      <w:kern w:val="28"/>
      <w:sz w:val="56"/>
      <w:szCs w:val="56"/>
      <w:lang w:val="en-I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075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07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IE"/>
    </w:rPr>
  </w:style>
  <w:style w:type="paragraph" w:styleId="Quote">
    <w:name w:val="Quote"/>
    <w:basedOn w:val="Normal"/>
    <w:next w:val="Normal"/>
    <w:link w:val="QuoteChar"/>
    <w:uiPriority w:val="29"/>
    <w:qFormat/>
    <w:rsid w:val="002F07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075B"/>
    <w:rPr>
      <w:i/>
      <w:iCs/>
      <w:color w:val="404040" w:themeColor="text1" w:themeTint="BF"/>
      <w:lang w:val="en-IE"/>
    </w:rPr>
  </w:style>
  <w:style w:type="paragraph" w:styleId="ListParagraph">
    <w:name w:val="List Paragraph"/>
    <w:basedOn w:val="Normal"/>
    <w:uiPriority w:val="34"/>
    <w:qFormat/>
    <w:rsid w:val="002F07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07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07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075B"/>
    <w:rPr>
      <w:i/>
      <w:iCs/>
      <w:color w:val="0F4761" w:themeColor="accent1" w:themeShade="BF"/>
      <w:lang w:val="en-IE"/>
    </w:rPr>
  </w:style>
  <w:style w:type="character" w:styleId="IntenseReference">
    <w:name w:val="Intense Reference"/>
    <w:basedOn w:val="DefaultParagraphFont"/>
    <w:uiPriority w:val="32"/>
    <w:qFormat/>
    <w:rsid w:val="002F075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F075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F075B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2F075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075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6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62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62B6"/>
    <w:rPr>
      <w:sz w:val="20"/>
      <w:szCs w:val="20"/>
      <w:lang w:val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2B6"/>
    <w:rPr>
      <w:b/>
      <w:bCs/>
      <w:sz w:val="20"/>
      <w:szCs w:val="20"/>
      <w:lang w:val="en-IE"/>
    </w:rPr>
  </w:style>
  <w:style w:type="paragraph" w:styleId="FootnoteText">
    <w:name w:val="footnote text"/>
    <w:basedOn w:val="Normal"/>
    <w:uiPriority w:val="99"/>
    <w:semiHidden/>
    <w:unhideWhenUsed/>
    <w:rsid w:val="48442DEB"/>
    <w:pPr>
      <w:spacing w:line="240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48442DEB"/>
    <w:rPr>
      <w:vertAlign w:val="superscript"/>
    </w:rPr>
  </w:style>
  <w:style w:type="paragraph" w:styleId="Revision">
    <w:name w:val="Revision"/>
    <w:hidden/>
    <w:uiPriority w:val="99"/>
    <w:semiHidden/>
    <w:rsid w:val="00E37511"/>
    <w:pPr>
      <w:spacing w:line="240" w:lineRule="auto"/>
    </w:pPr>
    <w:rPr>
      <w:lang w:val="en-IE"/>
    </w:rPr>
  </w:style>
  <w:style w:type="paragraph" w:styleId="Header">
    <w:name w:val="header"/>
    <w:basedOn w:val="Normal"/>
    <w:link w:val="HeaderChar"/>
    <w:uiPriority w:val="99"/>
    <w:semiHidden/>
    <w:unhideWhenUsed/>
    <w:rsid w:val="00E87DB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7DBE"/>
    <w:rPr>
      <w:lang w:val="en-IE"/>
    </w:rPr>
  </w:style>
  <w:style w:type="paragraph" w:styleId="Footer">
    <w:name w:val="footer"/>
    <w:basedOn w:val="Normal"/>
    <w:link w:val="FooterChar"/>
    <w:uiPriority w:val="99"/>
    <w:semiHidden/>
    <w:unhideWhenUsed/>
    <w:rsid w:val="00E87DB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7DBE"/>
    <w:rPr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ebgate.ec.europa.eu/TMSWebRestrict/resources/js/app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88888679983541A88C7FB7DCC3E21D" ma:contentTypeVersion="6" ma:contentTypeDescription="Create a new document." ma:contentTypeScope="" ma:versionID="4c69369310064a93c0418e1d2f791124">
  <xsd:schema xmlns:xsd="http://www.w3.org/2001/XMLSchema" xmlns:xs="http://www.w3.org/2001/XMLSchema" xmlns:p="http://schemas.microsoft.com/office/2006/metadata/properties" xmlns:ns2="a39f1391-a1ae-4e99-890e-35b7e22b398c" xmlns:ns3="a5817e60-585f-494a-8087-c20e4bfac4f3" targetNamespace="http://schemas.microsoft.com/office/2006/metadata/properties" ma:root="true" ma:fieldsID="9dab57dfa8399c787f2d89378cd25fab" ns2:_="" ns3:_="">
    <xsd:import namespace="a39f1391-a1ae-4e99-890e-35b7e22b398c"/>
    <xsd:import namespace="a5817e60-585f-494a-8087-c20e4bfac4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f1391-a1ae-4e99-890e-35b7e22b39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17e60-585f-494a-8087-c20e4bfac4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F37634-88A9-47D0-9C32-20D3B7E47C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292A4B-AEDE-41BF-AB86-CAB692AD4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f1391-a1ae-4e99-890e-35b7e22b398c"/>
    <ds:schemaRef ds:uri="a5817e60-585f-494a-8087-c20e4bfac4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695593-CCBB-4896-9DB8-AFE3E346B8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783</Words>
  <Characters>4568</Characters>
  <Application>Microsoft Office Word</Application>
  <DocSecurity>0</DocSecurity>
  <Lines>120</Lines>
  <Paragraphs>65</Paragraphs>
  <ScaleCrop>false</ScaleCrop>
  <Company>European Commission</Company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HYRKKO Heini (ENEST)</dc:creator>
  <cp:keywords/>
  <dc:description/>
  <cp:lastModifiedBy>HYRKKO Heini (ENEST)</cp:lastModifiedBy>
  <cp:revision>37</cp:revision>
  <dcterms:created xsi:type="dcterms:W3CDTF">2026-05-20T10:07:00Z</dcterms:created>
  <dcterms:modified xsi:type="dcterms:W3CDTF">2026-05-29T07:42:00Z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2026-04-09T18:06:23Z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6d7e4ef2-e5b3-4e0f-a0c5-ea18e8f1da95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  <property fmtid="{D5CDD505-2E9C-101B-9397-08002B2CF9AE}" pid="10" name="ContentTypeId">
    <vt:lpwstr>0x0101002488888679983541A88C7FB7DCC3E21D</vt:lpwstr>
  </property>
</Properties>
</file>